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0924" w14:textId="77777777" w:rsidR="007C0FB0" w:rsidRDefault="00000000">
      <w:pPr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每日调研日志（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4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天通用，每天填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1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份）</w:t>
      </w:r>
    </w:p>
    <w:p w14:paraId="3D2E6EDD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姓名：何佳慧　　专业：计算机科学与技术　　学号：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2024984130922</w:t>
      </w:r>
    </w:p>
    <w:p w14:paraId="395FE462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调研日期：第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 w:rsidRPr="002C5DA9">
        <w:rPr>
          <w:rFonts w:ascii="Times New Roman" w:eastAsia="宋体" w:hAnsi="Times New Roman"/>
          <w:color w:val="000000"/>
          <w:sz w:val="24"/>
          <w:u w:val="single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天（共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天）</w:t>
      </w:r>
    </w:p>
    <w:p w14:paraId="2EC9641C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一、当日调研任务</w:t>
      </w:r>
    </w:p>
    <w:p w14:paraId="7F125E36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今天我在第三天报告初稿的基础上开展定稿校核、成果整合与个人复盘，具体分三项推进：（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）初稿校核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通读报告初稿，逐项核对数据引用与分析结果是否一致、图表编号与正文解读是否对应、每个结论是否有数据支撑，对表述模糊、逻辑跳跃之处进行修改，并补充针对性的学习与求职建议；（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）材料整合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把四天的过程材料（调研方案、标准数据集、图表、分析代码、采集截图、资料来源清单）整合进报告第二章与附录；（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）个人复盘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回顾四天的调研思路、方法、困难与收获，撰写个人实践总结反思。</w:t>
      </w:r>
    </w:p>
    <w:p w14:paraId="7EB527DD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二、任务完成情况</w:t>
      </w:r>
    </w:p>
    <w:p w14:paraId="06C73902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当日全部任务均已完成。</w:t>
      </w:r>
      <w:r>
        <w:rPr>
          <w:rFonts w:ascii="Times New Roman" w:eastAsia="宋体" w:hAnsi="Times New Roman"/>
          <w:color w:val="000000"/>
          <w:sz w:val="24"/>
          <w:lang w:eastAsia="zh-CN"/>
        </w:rPr>
        <w:t>①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完成报告终稿校核，重点修正了图表题注缺失、图文对应不一致、个别数据引用与统计结果不吻合等细节问题，确保正文引用与图表编号一一对应、每个结论都能回溯到具体统计结果；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②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完成《</w:t>
      </w:r>
      <w:r>
        <w:rPr>
          <w:rFonts w:ascii="Times New Roman" w:eastAsia="宋体" w:hAnsi="Times New Roman"/>
          <w:color w:val="000000"/>
          <w:sz w:val="24"/>
          <w:lang w:eastAsia="zh-CN"/>
        </w:rPr>
        <w:t>IT</w:t>
      </w:r>
      <w:r>
        <w:rPr>
          <w:rFonts w:ascii="Times New Roman" w:eastAsia="宋体" w:hAnsi="Times New Roman"/>
          <w:color w:val="000000"/>
          <w:sz w:val="24"/>
          <w:lang w:eastAsia="zh-CN"/>
        </w:rPr>
        <w:t>企业实习调研报告》终稿（</w:t>
      </w:r>
      <w:r>
        <w:rPr>
          <w:rFonts w:ascii="Times New Roman" w:eastAsia="宋体" w:hAnsi="Times New Roman"/>
          <w:color w:val="000000"/>
          <w:sz w:val="24"/>
          <w:lang w:eastAsia="zh-CN"/>
        </w:rPr>
        <w:t>Word</w:t>
      </w:r>
      <w:r>
        <w:rPr>
          <w:rFonts w:ascii="Times New Roman" w:eastAsia="宋体" w:hAnsi="Times New Roman"/>
          <w:color w:val="000000"/>
          <w:sz w:val="24"/>
          <w:lang w:eastAsia="zh-CN"/>
        </w:rPr>
        <w:t>格式），含四天实践过程、三方向数据分析、与培养方案的相关性分析、对策建议与个人总结，共插入图表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张、数据表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张；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③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完成个人实践总结反思，对四天的调研思路、方法、困难与不足做了系统回顾；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④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完成全套实践材料整合归档，报告第二章与附录收录了调研方案、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条标准数据集、图表、分析代码与行业资料来源清单。</w:t>
      </w:r>
    </w:p>
    <w:p w14:paraId="23E2AE9C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三、调研主要内容摘要</w:t>
      </w:r>
    </w:p>
    <w:p w14:paraId="4A5168F1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）四天整体回顾：第一天确定调研方向与方案，把方向收敛为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工程、后端开发、数据分析三个，区域聚焦北京；第二天完成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条岗位数据采集（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>47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43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42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条）与行业资料搜集；第三天完成数据清洗、统计分析、课程相关性分析与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张图表；第四天完成终稿校核、材料整合与个人复盘。</w:t>
      </w:r>
    </w:p>
    <w:p w14:paraId="3033D053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）核心结论一（课程覆盖率）：三个方向技能需求合计的课程覆盖率为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，其中后端开发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69.9%</w:t>
      </w:r>
      <w:r>
        <w:rPr>
          <w:rFonts w:ascii="Times New Roman" w:eastAsia="宋体" w:hAnsi="Times New Roman"/>
          <w:color w:val="000000"/>
          <w:sz w:val="24"/>
          <w:lang w:eastAsia="zh-CN"/>
        </w:rPr>
        <w:t>最高、数据分析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51.8%</w:t>
      </w:r>
      <w:r>
        <w:rPr>
          <w:rFonts w:ascii="Times New Roman" w:eastAsia="宋体" w:hAnsi="Times New Roman"/>
          <w:color w:val="000000"/>
          <w:sz w:val="24"/>
          <w:lang w:eastAsia="zh-CN"/>
        </w:rPr>
        <w:t>居中、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>28.8%</w:t>
      </w:r>
      <w:r>
        <w:rPr>
          <w:rFonts w:ascii="Times New Roman" w:eastAsia="宋体" w:hAnsi="Times New Roman"/>
          <w:color w:val="000000"/>
          <w:sz w:val="24"/>
          <w:lang w:eastAsia="zh-CN"/>
        </w:rPr>
        <w:t>最低；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工程方向有</w:t>
      </w:r>
      <w:r>
        <w:rPr>
          <w:rFonts w:ascii="Times New Roman" w:eastAsia="宋体" w:hAnsi="Times New Roman"/>
          <w:color w:val="000000"/>
          <w:sz w:val="24"/>
          <w:lang w:eastAsia="zh-CN"/>
        </w:rPr>
        <w:t>56.0%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的技能需求属于课程尚未覆盖的前沿方向层。</w:t>
      </w:r>
    </w:p>
    <w:p w14:paraId="4ECBD3C6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）核心结论二（能力缺口）：以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需求频次占比</w:t>
      </w:r>
      <w:r>
        <w:rPr>
          <w:rFonts w:ascii="Times New Roman" w:eastAsia="宋体" w:hAnsi="Times New Roman"/>
          <w:color w:val="000000"/>
          <w:sz w:val="24"/>
          <w:lang w:eastAsia="zh-CN"/>
        </w:rPr>
        <w:t>×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1−</w:t>
      </w:r>
      <w:r>
        <w:rPr>
          <w:rFonts w:ascii="Times New Roman" w:eastAsia="宋体" w:hAnsi="Times New Roman"/>
          <w:color w:val="000000"/>
          <w:sz w:val="24"/>
          <w:lang w:eastAsia="zh-CN"/>
        </w:rPr>
        <w:t>覆盖强度）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计算缺口分，居前的依次是大模型、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Agent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、数据标注、</w:t>
      </w:r>
      <w:r>
        <w:rPr>
          <w:rFonts w:ascii="Times New Roman" w:eastAsia="宋体" w:hAnsi="Times New Roman"/>
          <w:color w:val="000000"/>
          <w:sz w:val="24"/>
          <w:lang w:eastAsia="zh-CN"/>
        </w:rPr>
        <w:t>Golang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RAG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工程、多模态、评测、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LangChain</w:t>
      </w:r>
      <w:r>
        <w:rPr>
          <w:rFonts w:ascii="Times New Roman" w:eastAsia="宋体" w:hAnsi="Times New Roman"/>
          <w:color w:val="000000"/>
          <w:sz w:val="24"/>
          <w:lang w:eastAsia="zh-CN"/>
        </w:rPr>
        <w:t>等，主要集中于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应用工程与企业级后端工具两类。</w:t>
      </w:r>
    </w:p>
    <w:p w14:paraId="7C8821AD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）核心结论三（结构与关联）：技能共现网络呈现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后端与基础技术簇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“AI</w:t>
      </w:r>
      <w:r>
        <w:rPr>
          <w:rFonts w:ascii="Times New Roman" w:eastAsia="宋体" w:hAnsi="Times New Roman"/>
          <w:color w:val="000000"/>
          <w:sz w:val="24"/>
          <w:lang w:eastAsia="zh-CN"/>
        </w:rPr>
        <w:t>应用技术簇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两个相对独立的能力组合；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聚类（肘部法选定</w:t>
      </w:r>
      <w:r>
        <w:rPr>
          <w:rFonts w:ascii="Times New Roman" w:eastAsia="宋体" w:hAnsi="Times New Roman"/>
          <w:color w:val="000000"/>
          <w:sz w:val="24"/>
          <w:lang w:eastAsia="zh-CN"/>
        </w:rPr>
        <w:t>k=3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）与岗位方向总体吻合但存在交叉；技能提及数与月薪中位估值的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秩相关不显著（</w:t>
      </w:r>
      <w:r>
        <w:rPr>
          <w:rFonts w:ascii="Times New Roman" w:eastAsia="宋体" w:hAnsi="Times New Roman"/>
          <w:color w:val="000000"/>
          <w:sz w:val="24"/>
        </w:rPr>
        <w:t>ρ</w:t>
      </w:r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0.02—0.11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p</w:t>
      </w:r>
      <w:r>
        <w:rPr>
          <w:rFonts w:ascii="Times New Roman" w:eastAsia="宋体" w:hAnsi="Times New Roman"/>
          <w:color w:val="000000"/>
          <w:sz w:val="24"/>
          <w:lang w:eastAsia="zh-CN"/>
        </w:rPr>
        <w:t>均大于</w:t>
      </w:r>
      <w:r>
        <w:rPr>
          <w:rFonts w:ascii="Times New Roman" w:eastAsia="宋体" w:hAnsi="Times New Roman"/>
          <w:color w:val="000000"/>
          <w:sz w:val="24"/>
          <w:lang w:eastAsia="zh-CN"/>
        </w:rPr>
        <w:t>0.05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</w:t>
      </w:r>
    </w:p>
    <w:p w14:paraId="0D80E662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）校核修正的问题：包括图</w:t>
      </w:r>
      <w:r>
        <w:rPr>
          <w:rFonts w:ascii="Times New Roman" w:eastAsia="宋体" w:hAnsi="Times New Roman"/>
          <w:color w:val="000000"/>
          <w:sz w:val="24"/>
          <w:lang w:eastAsia="zh-CN"/>
        </w:rPr>
        <w:t>3-7</w:t>
      </w:r>
      <w:r>
        <w:rPr>
          <w:rFonts w:ascii="Times New Roman" w:eastAsia="宋体" w:hAnsi="Times New Roman"/>
          <w:color w:val="000000"/>
          <w:sz w:val="24"/>
          <w:lang w:eastAsia="zh-CN"/>
        </w:rPr>
        <w:t>三层同心圆环的注释框与圆环配对错位、</w:t>
      </w:r>
      <w:r>
        <w:rPr>
          <w:rFonts w:ascii="Times New Roman" w:eastAsia="宋体" w:hAnsi="Times New Roman"/>
          <w:color w:val="000000"/>
          <w:sz w:val="24"/>
          <w:lang w:eastAsia="zh-CN"/>
        </w:rPr>
        <w:t>2.2</w:t>
      </w:r>
      <w:r>
        <w:rPr>
          <w:rFonts w:ascii="Times New Roman" w:eastAsia="宋体" w:hAnsi="Times New Roman"/>
          <w:color w:val="000000"/>
          <w:sz w:val="24"/>
          <w:lang w:eastAsia="zh-CN"/>
        </w:rPr>
        <w:t>节图表题注缺失与图文不符、个别数据引用与统计结果不一致等，均已在终稿中逐项修正，确保图文一致、结论可追溯。</w:t>
      </w:r>
    </w:p>
    <w:p w14:paraId="2512ECE2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四、个人收获与思考</w:t>
      </w:r>
    </w:p>
    <w:p w14:paraId="6216652E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今天的工作让我有机会把四天完整地复盘一遍，这也是我这次个人实践总结反思的核心。回顾整个过程，我遇到的困难主要有三个：一是数据可得性问题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后端开发方向的实习岗位在限定条件下几乎搜不到，一度让我怀疑方向选错了，后来通过放开求职类型口径才解决，这让我学会了在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口径统一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样本可得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之间做平衡；二是数据规范性问题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技能字段表述多样（</w:t>
      </w:r>
      <w:r>
        <w:rPr>
          <w:rFonts w:ascii="Times New Roman" w:eastAsia="宋体" w:hAnsi="Times New Roman"/>
          <w:color w:val="000000"/>
          <w:sz w:val="24"/>
          <w:lang w:eastAsia="zh-CN"/>
        </w:rPr>
        <w:t>Go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Golang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SQL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SparkSQL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），同义归并的边界需要反复推敲；三是技能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课程映射带有人工判断成分，覆盖强度分档的合理性会直接影响最终结论。</w:t>
      </w:r>
    </w:p>
    <w:p w14:paraId="10346FB4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在方法上，我完整经历了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定问题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采数据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做清洗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下结论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的闭环，学会了数据清洗（去重、异常处理、口径统一）、词频与分布统计、技能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课程映射与覆盖率计算、能力缺口分建模，以及技能共现网络、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秩相关等分析手段，并理解了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用数据说话、让结论可追溯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的重要性。</w:t>
      </w:r>
    </w:p>
    <w:p w14:paraId="46AE05A3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在认知上，最大的收获是把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课程与岗位有距离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这个模糊感受量化成了数字：整体课程覆盖率约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，且方向差异显著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后端开发达</w:t>
      </w:r>
      <w:r>
        <w:rPr>
          <w:rFonts w:ascii="Times New Roman" w:eastAsia="宋体" w:hAnsi="Times New Roman"/>
          <w:color w:val="000000"/>
          <w:sz w:val="24"/>
          <w:lang w:eastAsia="zh-CN"/>
        </w:rPr>
        <w:t>69.9%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工程仅</w:t>
      </w:r>
      <w:r>
        <w:rPr>
          <w:rFonts w:ascii="Times New Roman" w:eastAsia="宋体" w:hAnsi="Times New Roman"/>
          <w:color w:val="000000"/>
          <w:sz w:val="24"/>
          <w:lang w:eastAsia="zh-CN"/>
        </w:rPr>
        <w:t>28.8%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。这说明课程体系在打牢底座上是有效的，但在工程工具与前沿方向两个层面存在明显滞后，需要自己主动补齐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岗位接口能力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。这次实践也让我更明确了自己的学习方向：先把数据结构、数据库、操作系统等底座课学扎实，再结合目标方向自学工程工具与前沿技术，并通过实习把知识变成经验。</w:t>
      </w:r>
    </w:p>
    <w:p w14:paraId="1D1B0F5D" w14:textId="77777777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五、存在疑问与下一步计划</w:t>
      </w:r>
    </w:p>
    <w:p w14:paraId="322931C3" w14:textId="77777777" w:rsidR="007C0FB0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存在疑问：本次调研的样本仅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条，且集中于北京与单一招聘平台，代表性有限；原始数据中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图中未显示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等未披露字段较多，影响部分统计的完整性；技能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课程映射依赖人工判断，覆盖强度分档缺少外部校准；薪资统计混合了实习日薪与全职月薪口径，有待进一步统一。这些局限让我对结论的外推保持谨慎。</w:t>
      </w:r>
    </w:p>
    <w:p w14:paraId="7166CA8C" w14:textId="7A740655" w:rsidR="007C0FB0" w:rsidRDefault="002C5DA9">
      <w:pPr>
        <w:ind w:firstLine="480"/>
        <w:rPr>
          <w:lang w:eastAsia="zh-CN"/>
        </w:rPr>
      </w:pPr>
      <w:r>
        <w:rPr>
          <w:rFonts w:cs="Segoe UI"/>
          <w:noProof/>
          <w:color w:val="0F1115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6BB2CFB" wp14:editId="3594B210">
            <wp:simplePos x="0" y="0"/>
            <wp:positionH relativeFrom="column">
              <wp:posOffset>1089978</wp:posOffset>
            </wp:positionH>
            <wp:positionV relativeFrom="paragraph">
              <wp:posOffset>909295</wp:posOffset>
            </wp:positionV>
            <wp:extent cx="230478" cy="483289"/>
            <wp:effectExtent l="6667" t="0" r="5398" b="5397"/>
            <wp:wrapNone/>
            <wp:docPr id="10393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205" name="图片 103931205"/>
                    <pic:cNvPicPr/>
                  </pic:nvPicPr>
                  <pic:blipFill rotWithShape="1">
                    <a:blip r:embed="rId6" cstate="print">
                      <a:alphaModFix amt="62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7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7" t="16179" r="19829" b="104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0478" cy="48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下一步：实践结束后，计划持续跟踪这三个方向的技术动态与招聘变化，把这次建立的技能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—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课程对照表作为后续选课与自学的参考；若有机会，将扩大样本范围（增加城市与平台），补充企业访谈或问卷来验证覆盖强度分档的合理性，并尝试用更细的薪资口径（实习日薪与全职月薪分别统计）重做分析，让结论更扎实。</w:t>
      </w:r>
    </w:p>
    <w:p w14:paraId="0F754C5B" w14:textId="0A4E5733" w:rsidR="007C0FB0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学生签名：</w:t>
      </w:r>
      <w:r>
        <w:rPr>
          <w:rFonts w:ascii="Times New Roman" w:eastAsia="宋体" w:hAnsi="Times New Roman"/>
          <w:color w:val="000000"/>
          <w:sz w:val="24"/>
          <w:lang w:eastAsia="zh-CN"/>
        </w:rPr>
        <w:t>____________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　　提交时间：</w:t>
      </w:r>
      <w:r>
        <w:rPr>
          <w:rFonts w:ascii="Times New Roman" w:eastAsia="宋体" w:hAnsi="Times New Roman"/>
          <w:color w:val="000000"/>
          <w:sz w:val="24"/>
          <w:lang w:eastAsia="zh-CN"/>
        </w:rPr>
        <w:t>2026.10.11</w:t>
      </w:r>
    </w:p>
    <w:sectPr w:rsidR="007C0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798901">
    <w:abstractNumId w:val="8"/>
  </w:num>
  <w:num w:numId="2" w16cid:durableId="435100672">
    <w:abstractNumId w:val="6"/>
  </w:num>
  <w:num w:numId="3" w16cid:durableId="488207689">
    <w:abstractNumId w:val="5"/>
  </w:num>
  <w:num w:numId="4" w16cid:durableId="840316144">
    <w:abstractNumId w:val="4"/>
  </w:num>
  <w:num w:numId="5" w16cid:durableId="453721390">
    <w:abstractNumId w:val="7"/>
  </w:num>
  <w:num w:numId="6" w16cid:durableId="1604874885">
    <w:abstractNumId w:val="3"/>
  </w:num>
  <w:num w:numId="7" w16cid:durableId="223489223">
    <w:abstractNumId w:val="2"/>
  </w:num>
  <w:num w:numId="8" w16cid:durableId="297105581">
    <w:abstractNumId w:val="1"/>
  </w:num>
  <w:num w:numId="9" w16cid:durableId="209474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A9"/>
    <w:rsid w:val="00326F90"/>
    <w:rsid w:val="007C0FB0"/>
    <w:rsid w:val="00AA1D8D"/>
    <w:rsid w:val="00B47730"/>
    <w:rsid w:val="00BE7C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3311D"/>
  <w14:defaultImageDpi w14:val="300"/>
  <w15:docId w15:val="{D53B1972-72AB-418A-A8D3-BBFD8D6B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1037</Words>
  <Characters>1132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2</cp:revision>
  <dcterms:created xsi:type="dcterms:W3CDTF">2013-12-23T23:15:00Z</dcterms:created>
  <dcterms:modified xsi:type="dcterms:W3CDTF">2026-10-10T14:14:00Z</dcterms:modified>
  <cp:category/>
</cp:coreProperties>
</file>