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Cyvelle Consulting - Complete Developer Master Build Guide</w:t>
      </w:r>
    </w:p>
    <w:p>
      <w:pPr>
        <w:spacing w:after="200"/>
      </w:pPr>
      <w:r>
        <w:rPr>
          <w:i/>
          <w:color w:val="505050"/>
        </w:rPr>
        <w:t>Rebuilt from the complete master architecture, full service transcripts, SEO/Intelligence roadmap, and Pricing, Scope &amp; Delivery Guide</w:t>
      </w:r>
    </w:p>
    <w:tbl>
      <w:tblPr>
        <w:tblW w:type="auto" w:w="0"/>
        <w:jc w:val="center"/>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r>
              <w:rPr>
                <w:b/>
                <w:color w:val="17365D"/>
              </w:rPr>
              <w:t>Source correction</w:t>
            </w:r>
          </w:p>
          <w:p>
            <w:pPr>
              <w:spacing w:after="0"/>
            </w:pPr>
            <w:r>
              <w:t>The earlier handoff was based on truncated stub files and should be disregarded. This build uses the complete documents attached on 28 August 2026. Public pricing is now an approved website strategy and supersedes every older no-pricing instruction.</w:t>
            </w:r>
          </w:p>
        </w:tc>
      </w:tr>
    </w:tbl>
    <w:p>
      <w:pPr>
        <w:spacing w:after="0"/>
      </w:pPr>
    </w:p>
    <w:p>
      <w:pPr>
        <w:pStyle w:val="Heading1"/>
      </w:pPr>
      <w:r>
        <w:t>1. Source Precedence and Approved Overrides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720"/>
            <w:tcMar>
              <w:top w:w="90" w:type="dxa"/>
              <w:start w:w="100" w:type="dxa"/>
              <w:bottom w:w="90" w:type="dxa"/>
              <w:end w:w="100" w:type="dxa"/>
            </w:tcMar>
            <w:vAlign w:val="top"/>
            <w:shd w:fill="D9EAF7"/>
          </w:tcPr>
          <w:p>
            <w:pPr>
              <w:spacing w:after="30"/>
            </w:pPr>
            <w:r>
              <w:rPr>
                <w:rFonts w:ascii="Aptos" w:hAnsi="Aptos"/>
                <w:b/>
                <w:sz w:val="16"/>
              </w:rPr>
              <w:t>Priority</w:t>
            </w:r>
          </w:p>
        </w:tc>
        <w:tc>
          <w:tcPr>
            <w:tcW w:type="dxa" w:w="3024"/>
            <w:tcMar>
              <w:top w:w="90" w:type="dxa"/>
              <w:start w:w="100" w:type="dxa"/>
              <w:bottom w:w="90" w:type="dxa"/>
              <w:end w:w="100" w:type="dxa"/>
            </w:tcMar>
            <w:vAlign w:val="top"/>
            <w:shd w:fill="D9EAF7"/>
          </w:tcPr>
          <w:p>
            <w:pPr>
              <w:spacing w:after="30"/>
            </w:pPr>
            <w:r>
              <w:rPr>
                <w:rFonts w:ascii="Aptos" w:hAnsi="Aptos"/>
                <w:b/>
                <w:sz w:val="16"/>
              </w:rPr>
              <w:t>Source</w:t>
            </w:r>
          </w:p>
        </w:tc>
        <w:tc>
          <w:tcPr>
            <w:tcW w:type="dxa" w:w="7056"/>
            <w:tcMar>
              <w:top w:w="90" w:type="dxa"/>
              <w:start w:w="100" w:type="dxa"/>
              <w:bottom w:w="90" w:type="dxa"/>
              <w:end w:w="100" w:type="dxa"/>
            </w:tcMar>
            <w:vAlign w:val="top"/>
            <w:shd w:fill="D9EAF7"/>
          </w:tcPr>
          <w:p>
            <w:pPr>
              <w:spacing w:after="30"/>
            </w:pPr>
            <w:r>
              <w:rPr>
                <w:rFonts w:ascii="Aptos" w:hAnsi="Aptos"/>
                <w:b/>
                <w:sz w:val="16"/>
              </w:rPr>
              <w:t>Use in this build</w:t>
            </w:r>
          </w:p>
        </w:tc>
      </w:tr>
      <w:tr>
        <w:trPr>
          <w:cantSplit/>
        </w:trPr>
        <w:tc>
          <w:tcPr>
            <w:tcW w:type="dxa" w:w="720"/>
            <w:tcMar>
              <w:top w:w="90" w:type="dxa"/>
              <w:start w:w="100" w:type="dxa"/>
              <w:bottom w:w="90" w:type="dxa"/>
              <w:end w:w="100" w:type="dxa"/>
            </w:tcMar>
            <w:vAlign w:val="top"/>
          </w:tcPr>
          <w:p>
            <w:pPr>
              <w:spacing w:after="30"/>
            </w:pPr>
            <w:r>
              <w:rPr>
                <w:rFonts w:ascii="Aptos" w:hAnsi="Aptos"/>
                <w:sz w:val="16"/>
              </w:rPr>
              <w:t>1</w:t>
            </w:r>
          </w:p>
        </w:tc>
        <w:tc>
          <w:tcPr>
            <w:tcW w:type="dxa" w:w="3024"/>
            <w:tcMar>
              <w:top w:w="90" w:type="dxa"/>
              <w:start w:w="100" w:type="dxa"/>
              <w:bottom w:w="90" w:type="dxa"/>
              <w:end w:w="100" w:type="dxa"/>
            </w:tcMar>
            <w:vAlign w:val="top"/>
          </w:tcPr>
          <w:p>
            <w:pPr>
              <w:spacing w:after="30"/>
            </w:pPr>
            <w:r>
              <w:rPr>
                <w:rFonts w:ascii="Aptos" w:hAnsi="Aptos"/>
                <w:sz w:val="16"/>
              </w:rPr>
              <w:t>Cyvelle Final Master Website Architecture</w:t>
            </w:r>
          </w:p>
        </w:tc>
        <w:tc>
          <w:tcPr>
            <w:tcW w:type="dxa" w:w="7056"/>
            <w:tcMar>
              <w:top w:w="90" w:type="dxa"/>
              <w:start w:w="100" w:type="dxa"/>
              <w:bottom w:w="90" w:type="dxa"/>
              <w:end w:w="100" w:type="dxa"/>
            </w:tcMar>
            <w:vAlign w:val="top"/>
          </w:tcPr>
          <w:p>
            <w:pPr>
              <w:spacing w:after="30"/>
            </w:pPr>
            <w:r>
              <w:rPr>
                <w:rFonts w:ascii="Aptos" w:hAnsi="Aptos"/>
                <w:sz w:val="16"/>
              </w:rPr>
              <w:t>Site positioning, navigation, page roles, reusable service structure, About, founder module, CTA system, scope-boundary placement.</w:t>
            </w:r>
          </w:p>
        </w:tc>
      </w:tr>
      <w:tr>
        <w:trPr>
          <w:cantSplit/>
        </w:trPr>
        <w:tc>
          <w:tcPr>
            <w:tcW w:type="dxa" w:w="720"/>
            <w:tcMar>
              <w:top w:w="90" w:type="dxa"/>
              <w:start w:w="100" w:type="dxa"/>
              <w:bottom w:w="90" w:type="dxa"/>
              <w:end w:w="100" w:type="dxa"/>
            </w:tcMar>
            <w:vAlign w:val="top"/>
          </w:tcPr>
          <w:p>
            <w:pPr>
              <w:spacing w:after="30"/>
            </w:pPr>
            <w:r>
              <w:rPr>
                <w:rFonts w:ascii="Aptos" w:hAnsi="Aptos"/>
                <w:sz w:val="16"/>
              </w:rPr>
              <w:t>2</w:t>
            </w:r>
          </w:p>
        </w:tc>
        <w:tc>
          <w:tcPr>
            <w:tcW w:type="dxa" w:w="3024"/>
            <w:tcMar>
              <w:top w:w="90" w:type="dxa"/>
              <w:start w:w="100" w:type="dxa"/>
              <w:bottom w:w="90" w:type="dxa"/>
              <w:end w:w="100" w:type="dxa"/>
            </w:tcMar>
            <w:vAlign w:val="top"/>
          </w:tcPr>
          <w:p>
            <w:pPr>
              <w:spacing w:after="30"/>
            </w:pPr>
            <w:r>
              <w:rPr>
                <w:rFonts w:ascii="Aptos" w:hAnsi="Aptos"/>
                <w:sz w:val="16"/>
              </w:rPr>
              <w:t>Cyvelle Final Service Transcript Pack, Volume 1</w:t>
            </w:r>
          </w:p>
        </w:tc>
        <w:tc>
          <w:tcPr>
            <w:tcW w:type="dxa" w:w="7056"/>
            <w:tcMar>
              <w:top w:w="90" w:type="dxa"/>
              <w:start w:w="100" w:type="dxa"/>
              <w:bottom w:w="90" w:type="dxa"/>
              <w:end w:w="100" w:type="dxa"/>
            </w:tcMar>
            <w:vAlign w:val="top"/>
          </w:tcPr>
          <w:p>
            <w:pPr>
              <w:spacing w:after="30"/>
            </w:pPr>
            <w:r>
              <w:rPr>
                <w:rFonts w:ascii="Aptos" w:hAnsi="Aptos"/>
                <w:sz w:val="16"/>
              </w:rPr>
              <w:t>Public copy for Governance Blueprint, Virtual CISO, SOC 2 Readiness, and ISO 27001 Readiness.</w:t>
            </w:r>
          </w:p>
        </w:tc>
      </w:tr>
      <w:tr>
        <w:trPr>
          <w:cantSplit/>
        </w:trPr>
        <w:tc>
          <w:tcPr>
            <w:tcW w:type="dxa" w:w="720"/>
            <w:tcMar>
              <w:top w:w="90" w:type="dxa"/>
              <w:start w:w="100" w:type="dxa"/>
              <w:bottom w:w="90" w:type="dxa"/>
              <w:end w:w="100" w:type="dxa"/>
            </w:tcMar>
            <w:vAlign w:val="top"/>
          </w:tcPr>
          <w:p>
            <w:pPr>
              <w:spacing w:after="30"/>
            </w:pPr>
            <w:r>
              <w:rPr>
                <w:rFonts w:ascii="Aptos" w:hAnsi="Aptos"/>
                <w:sz w:val="16"/>
              </w:rPr>
              <w:t>3</w:t>
            </w:r>
          </w:p>
        </w:tc>
        <w:tc>
          <w:tcPr>
            <w:tcW w:type="dxa" w:w="3024"/>
            <w:tcMar>
              <w:top w:w="90" w:type="dxa"/>
              <w:start w:w="100" w:type="dxa"/>
              <w:bottom w:w="90" w:type="dxa"/>
              <w:end w:w="100" w:type="dxa"/>
            </w:tcMar>
            <w:vAlign w:val="top"/>
          </w:tcPr>
          <w:p>
            <w:pPr>
              <w:spacing w:after="30"/>
            </w:pPr>
            <w:r>
              <w:rPr>
                <w:rFonts w:ascii="Aptos" w:hAnsi="Aptos"/>
                <w:sz w:val="16"/>
              </w:rPr>
              <w:t>Cyvelle Launch Priority 3 Content</w:t>
            </w:r>
          </w:p>
        </w:tc>
        <w:tc>
          <w:tcPr>
            <w:tcW w:type="dxa" w:w="7056"/>
            <w:tcMar>
              <w:top w:w="90" w:type="dxa"/>
              <w:start w:w="100" w:type="dxa"/>
              <w:bottom w:w="90" w:type="dxa"/>
              <w:end w:w="100" w:type="dxa"/>
            </w:tcMar>
            <w:vAlign w:val="top"/>
          </w:tcPr>
          <w:p>
            <w:pPr>
              <w:spacing w:after="30"/>
            </w:pPr>
            <w:r>
              <w:rPr>
                <w:rFonts w:ascii="Aptos" w:hAnsi="Aptos"/>
                <w:sz w:val="16"/>
              </w:rPr>
              <w:t>Public copy for the remaining 16 individual service pages.</w:t>
            </w:r>
          </w:p>
        </w:tc>
      </w:tr>
      <w:tr>
        <w:trPr>
          <w:cantSplit/>
        </w:trPr>
        <w:tc>
          <w:tcPr>
            <w:tcW w:type="dxa" w:w="720"/>
            <w:tcMar>
              <w:top w:w="90" w:type="dxa"/>
              <w:start w:w="100" w:type="dxa"/>
              <w:bottom w:w="90" w:type="dxa"/>
              <w:end w:w="100" w:type="dxa"/>
            </w:tcMar>
            <w:vAlign w:val="top"/>
          </w:tcPr>
          <w:p>
            <w:pPr>
              <w:spacing w:after="30"/>
            </w:pPr>
            <w:r>
              <w:rPr>
                <w:rFonts w:ascii="Aptos" w:hAnsi="Aptos"/>
                <w:sz w:val="16"/>
              </w:rPr>
              <w:t>4</w:t>
            </w:r>
          </w:p>
        </w:tc>
        <w:tc>
          <w:tcPr>
            <w:tcW w:type="dxa" w:w="3024"/>
            <w:tcMar>
              <w:top w:w="90" w:type="dxa"/>
              <w:start w:w="100" w:type="dxa"/>
              <w:bottom w:w="90" w:type="dxa"/>
              <w:end w:w="100" w:type="dxa"/>
            </w:tcMar>
            <w:vAlign w:val="top"/>
          </w:tcPr>
          <w:p>
            <w:pPr>
              <w:spacing w:after="30"/>
            </w:pPr>
            <w:r>
              <w:rPr>
                <w:rFonts w:ascii="Aptos" w:hAnsi="Aptos"/>
                <w:sz w:val="16"/>
              </w:rPr>
              <w:t>Cyvelle Launch Priority 4 SEO &amp; Intelligence Roadmap</w:t>
            </w:r>
          </w:p>
        </w:tc>
        <w:tc>
          <w:tcPr>
            <w:tcW w:type="dxa" w:w="7056"/>
            <w:tcMar>
              <w:top w:w="90" w:type="dxa"/>
              <w:start w:w="100" w:type="dxa"/>
              <w:bottom w:w="90" w:type="dxa"/>
              <w:end w:w="100" w:type="dxa"/>
            </w:tcMar>
            <w:vAlign w:val="top"/>
          </w:tcPr>
          <w:p>
            <w:pPr>
              <w:spacing w:after="30"/>
            </w:pPr>
            <w:r>
              <w:rPr>
                <w:rFonts w:ascii="Aptos" w:hAnsi="Aptos"/>
                <w:sz w:val="16"/>
              </w:rPr>
              <w:t>SEO map, Intelligence clusters, schema, internal-linking rules, and /pricing search intent.</w:t>
            </w:r>
          </w:p>
        </w:tc>
      </w:tr>
      <w:tr>
        <w:trPr>
          <w:cantSplit/>
        </w:trPr>
        <w:tc>
          <w:tcPr>
            <w:tcW w:type="dxa" w:w="720"/>
            <w:tcMar>
              <w:top w:w="90" w:type="dxa"/>
              <w:start w:w="100" w:type="dxa"/>
              <w:bottom w:w="90" w:type="dxa"/>
              <w:end w:w="100" w:type="dxa"/>
            </w:tcMar>
            <w:vAlign w:val="top"/>
          </w:tcPr>
          <w:p>
            <w:pPr>
              <w:spacing w:after="30"/>
            </w:pPr>
            <w:r>
              <w:rPr>
                <w:rFonts w:ascii="Aptos" w:hAnsi="Aptos"/>
                <w:sz w:val="16"/>
              </w:rPr>
              <w:t>5</w:t>
            </w:r>
          </w:p>
        </w:tc>
        <w:tc>
          <w:tcPr>
            <w:tcW w:type="dxa" w:w="3024"/>
            <w:tcMar>
              <w:top w:w="90" w:type="dxa"/>
              <w:start w:w="100" w:type="dxa"/>
              <w:bottom w:w="90" w:type="dxa"/>
              <w:end w:w="100" w:type="dxa"/>
            </w:tcMar>
            <w:vAlign w:val="top"/>
          </w:tcPr>
          <w:p>
            <w:pPr>
              <w:spacing w:after="30"/>
            </w:pPr>
            <w:r>
              <w:rPr>
                <w:rFonts w:ascii="Aptos" w:hAnsi="Aptos"/>
                <w:sz w:val="16"/>
              </w:rPr>
              <w:t>Cyvelle Pricing, Scope &amp; Delivery Guide</w:t>
            </w:r>
          </w:p>
        </w:tc>
        <w:tc>
          <w:tcPr>
            <w:tcW w:type="dxa" w:w="7056"/>
            <w:tcMar>
              <w:top w:w="90" w:type="dxa"/>
              <w:start w:w="100" w:type="dxa"/>
              <w:bottom w:w="90" w:type="dxa"/>
              <w:end w:w="100" w:type="dxa"/>
            </w:tcMar>
            <w:vAlign w:val="top"/>
          </w:tcPr>
          <w:p>
            <w:pPr>
              <w:spacing w:after="30"/>
            </w:pPr>
            <w:r>
              <w:rPr>
                <w:rFonts w:ascii="Aptos" w:hAnsi="Aptos"/>
                <w:sz w:val="16"/>
              </w:rPr>
              <w:t>Commercial anchor prices, payment model, standard delivery ranges, and internal capacity rules. Internal hours/capacity do not publish.</w:t>
            </w:r>
          </w:p>
        </w:tc>
      </w:tr>
    </w:tbl>
    <w:p>
      <w:pPr>
        <w:pStyle w:val="Heading2"/>
      </w:pPr>
      <w:r>
        <w:t>Approved overrides</w:t>
      </w:r>
    </w:p>
    <w:p>
      <w:pPr>
        <w:pStyle w:val="ListBullet"/>
        <w:ind w:left="288" w:hanging="173"/>
      </w:pPr>
      <w:r>
        <w:t>Public pricing is approved. Every service page except The Governance Blueprint displays three pricing bands.</w:t>
      </w:r>
    </w:p>
    <w:p>
      <w:pPr>
        <w:pStyle w:val="ListBullet"/>
        <w:ind w:left="288" w:hanging="173"/>
      </w:pPr>
      <w:r>
        <w:t>The Governance Blueprint remains one fixed-price offer at $9,500 and a four-week standard delivery calendar.</w:t>
      </w:r>
    </w:p>
    <w:p>
      <w:pPr>
        <w:pStyle w:val="ListBullet"/>
        <w:ind w:left="288" w:hanging="173"/>
      </w:pPr>
      <w:r>
        <w:t>Internal professional-hour guardrails and capacity ceilings from the pricing guide stay private.</w:t>
      </w:r>
    </w:p>
    <w:p>
      <w:pPr>
        <w:pStyle w:val="ListBullet"/>
        <w:ind w:left="288" w:hanging="173"/>
      </w:pPr>
      <w:r>
        <w:t>The primary CTA remains Book a 30-Minute Consultation.</w:t>
      </w:r>
    </w:p>
    <w:p>
      <w:pPr>
        <w:pStyle w:val="ListBullet"/>
        <w:ind w:left="288" w:hanging="173"/>
      </w:pPr>
      <w:r>
        <w:t>Temi is positioned with 20+ years of experience. The compact founder module links to About and LinkedIn.</w:t>
      </w:r>
    </w:p>
    <w:p>
      <w:pPr>
        <w:pStyle w:val="ListBullet"/>
        <w:ind w:left="288" w:hanging="173"/>
      </w:pPr>
      <w:r>
        <w:t>CMMC and EU AI Act evergreen copy is updated for current August 2026 regulatory status. NIS2 copy includes Member State and legal-counsel caveats.</w:t>
      </w:r>
    </w:p>
    <w:p>
      <w:pPr>
        <w:pStyle w:val="ListBullet"/>
        <w:ind w:left="288" w:hanging="173"/>
      </w:pPr>
      <w:r>
        <w:t>About and Intelligence stay separate page types.</w:t>
      </w:r>
    </w:p>
    <w:p>
      <w:pPr>
        <w:pStyle w:val="Heading1"/>
      </w:pPr>
      <w:r>
        <w:t>2. Research-Backed Build Decisions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800"/>
            <w:tcMar>
              <w:top w:w="90" w:type="dxa"/>
              <w:start w:w="100" w:type="dxa"/>
              <w:bottom w:w="90" w:type="dxa"/>
              <w:end w:w="100" w:type="dxa"/>
            </w:tcMar>
            <w:vAlign w:val="top"/>
            <w:shd w:fill="D9EAF7"/>
          </w:tcPr>
          <w:p>
            <w:pPr>
              <w:spacing w:after="30"/>
            </w:pPr>
            <w:r>
              <w:rPr>
                <w:rFonts w:ascii="Aptos" w:hAnsi="Aptos"/>
                <w:b/>
                <w:sz w:val="14"/>
              </w:rPr>
              <w:t>Decision</w:t>
            </w:r>
          </w:p>
        </w:tc>
        <w:tc>
          <w:tcPr>
            <w:tcW w:type="dxa" w:w="3456"/>
            <w:tcMar>
              <w:top w:w="90" w:type="dxa"/>
              <w:start w:w="100" w:type="dxa"/>
              <w:bottom w:w="90" w:type="dxa"/>
              <w:end w:w="100" w:type="dxa"/>
            </w:tcMar>
            <w:vAlign w:val="top"/>
            <w:shd w:fill="D9EAF7"/>
          </w:tcPr>
          <w:p>
            <w:pPr>
              <w:spacing w:after="30"/>
            </w:pPr>
            <w:r>
              <w:rPr>
                <w:rFonts w:ascii="Aptos" w:hAnsi="Aptos"/>
                <w:b/>
                <w:sz w:val="14"/>
              </w:rPr>
              <w:t>Final build rule</w:t>
            </w:r>
          </w:p>
        </w:tc>
        <w:tc>
          <w:tcPr>
            <w:tcW w:type="dxa" w:w="5544"/>
            <w:tcMar>
              <w:top w:w="90" w:type="dxa"/>
              <w:start w:w="100" w:type="dxa"/>
              <w:bottom w:w="90" w:type="dxa"/>
              <w:end w:w="100" w:type="dxa"/>
            </w:tcMar>
            <w:vAlign w:val="top"/>
            <w:shd w:fill="D9EAF7"/>
          </w:tcPr>
          <w:p>
            <w:pPr>
              <w:spacing w:after="30"/>
            </w:pPr>
            <w:r>
              <w:rPr>
                <w:rFonts w:ascii="Aptos" w:hAnsi="Aptos"/>
                <w:b/>
                <w:sz w:val="14"/>
              </w:rPr>
              <w:t>Market / source basis</w:t>
            </w:r>
          </w:p>
        </w:tc>
      </w:tr>
      <w:tr>
        <w:trPr>
          <w:cantSplit/>
        </w:trPr>
        <w:tc>
          <w:tcPr>
            <w:tcW w:type="dxa" w:w="1800"/>
            <w:tcMar>
              <w:top w:w="90" w:type="dxa"/>
              <w:start w:w="100" w:type="dxa"/>
              <w:bottom w:w="90" w:type="dxa"/>
              <w:end w:w="100" w:type="dxa"/>
            </w:tcMar>
            <w:vAlign w:val="top"/>
          </w:tcPr>
          <w:p>
            <w:pPr>
              <w:spacing w:after="30"/>
            </w:pPr>
            <w:r>
              <w:rPr>
                <w:rFonts w:ascii="Aptos" w:hAnsi="Aptos"/>
                <w:sz w:val="14"/>
              </w:rPr>
              <w:t>Public pricing</w:t>
            </w:r>
          </w:p>
        </w:tc>
        <w:tc>
          <w:tcPr>
            <w:tcW w:type="dxa" w:w="3456"/>
            <w:tcMar>
              <w:top w:w="90" w:type="dxa"/>
              <w:start w:w="100" w:type="dxa"/>
              <w:bottom w:w="90" w:type="dxa"/>
              <w:end w:w="100" w:type="dxa"/>
            </w:tcMar>
            <w:vAlign w:val="top"/>
          </w:tcPr>
          <w:p>
            <w:pPr>
              <w:spacing w:after="30"/>
            </w:pPr>
            <w:r>
              <w:rPr>
                <w:rFonts w:ascii="Aptos" w:hAnsi="Aptos"/>
                <w:sz w:val="14"/>
              </w:rPr>
              <w:t>Show service-level public pricing. Three bands for all services except the fixed-price Blueprint.</w:t>
            </w:r>
          </w:p>
        </w:tc>
        <w:tc>
          <w:tcPr>
            <w:tcW w:type="dxa" w:w="5544"/>
            <w:tcMar>
              <w:top w:w="90" w:type="dxa"/>
              <w:start w:w="100" w:type="dxa"/>
              <w:bottom w:w="90" w:type="dxa"/>
              <w:end w:w="100" w:type="dxa"/>
            </w:tcMar>
            <w:vAlign w:val="top"/>
          </w:tcPr>
          <w:p>
            <w:pPr>
              <w:spacing w:after="30"/>
            </w:pPr>
            <w:r>
              <w:rPr>
                <w:rFonts w:ascii="Aptos" w:hAnsi="Aptos"/>
                <w:sz w:val="14"/>
              </w:rPr>
              <w:t>Atlant currently publishes direct prices on vCISO, SOC 2, ISO 27001, HIPAA, HITRUST, CMMC, cloud, and maturity pages. Its vCISO page uses three monthly tiers.</w:t>
            </w:r>
          </w:p>
        </w:tc>
      </w:tr>
      <w:tr>
        <w:trPr>
          <w:cantSplit/>
        </w:trPr>
        <w:tc>
          <w:tcPr>
            <w:tcW w:type="dxa" w:w="1800"/>
            <w:tcMar>
              <w:top w:w="90" w:type="dxa"/>
              <w:start w:w="100" w:type="dxa"/>
              <w:bottom w:w="90" w:type="dxa"/>
              <w:end w:w="100" w:type="dxa"/>
            </w:tcMar>
            <w:vAlign w:val="top"/>
          </w:tcPr>
          <w:p>
            <w:pPr>
              <w:spacing w:after="30"/>
            </w:pPr>
            <w:r>
              <w:rPr>
                <w:rFonts w:ascii="Aptos" w:hAnsi="Aptos"/>
                <w:sz w:val="14"/>
              </w:rPr>
              <w:t>Pricing placement</w:t>
            </w:r>
          </w:p>
        </w:tc>
        <w:tc>
          <w:tcPr>
            <w:tcW w:type="dxa" w:w="3456"/>
            <w:tcMar>
              <w:top w:w="90" w:type="dxa"/>
              <w:start w:w="100" w:type="dxa"/>
              <w:bottom w:w="90" w:type="dxa"/>
              <w:end w:w="100" w:type="dxa"/>
            </w:tcMar>
            <w:vAlign w:val="top"/>
          </w:tcPr>
          <w:p>
            <w:pPr>
              <w:spacing w:after="30"/>
            </w:pPr>
            <w:r>
              <w:rPr>
                <w:rFonts w:ascii="Aptos" w:hAnsi="Aptos"/>
                <w:sz w:val="14"/>
              </w:rPr>
              <w:t>Place Pricing after How the Engagement Works and before What Changes / Important Scope Information.</w:t>
            </w:r>
          </w:p>
        </w:tc>
        <w:tc>
          <w:tcPr>
            <w:tcW w:type="dxa" w:w="5544"/>
            <w:tcMar>
              <w:top w:w="90" w:type="dxa"/>
              <w:start w:w="100" w:type="dxa"/>
              <w:bottom w:w="90" w:type="dxa"/>
              <w:end w:w="100" w:type="dxa"/>
            </w:tcMar>
            <w:vAlign w:val="top"/>
          </w:tcPr>
          <w:p>
            <w:pPr>
              <w:spacing w:after="30"/>
            </w:pPr>
            <w:r>
              <w:rPr>
                <w:rFonts w:ascii="Aptos" w:hAnsi="Aptos"/>
                <w:sz w:val="14"/>
              </w:rPr>
              <w:t>Current readiness sites explain scope and process before presenting price, then continue with proof, boundaries, FAQ, and CTA. This keeps price attached to a defined scope.</w:t>
            </w:r>
          </w:p>
        </w:tc>
      </w:tr>
      <w:tr>
        <w:trPr>
          <w:cantSplit/>
        </w:trPr>
        <w:tc>
          <w:tcPr>
            <w:tcW w:type="dxa" w:w="1800"/>
            <w:tcMar>
              <w:top w:w="90" w:type="dxa"/>
              <w:start w:w="100" w:type="dxa"/>
              <w:bottom w:w="90" w:type="dxa"/>
              <w:end w:w="100" w:type="dxa"/>
            </w:tcMar>
            <w:vAlign w:val="top"/>
          </w:tcPr>
          <w:p>
            <w:pPr>
              <w:spacing w:after="30"/>
            </w:pPr>
            <w:r>
              <w:rPr>
                <w:rFonts w:ascii="Aptos" w:hAnsi="Aptos"/>
                <w:sz w:val="14"/>
              </w:rPr>
              <w:t>Leadership pricing</w:t>
            </w:r>
          </w:p>
        </w:tc>
        <w:tc>
          <w:tcPr>
            <w:tcW w:type="dxa" w:w="3456"/>
            <w:tcMar>
              <w:top w:w="90" w:type="dxa"/>
              <w:start w:w="100" w:type="dxa"/>
              <w:bottom w:w="90" w:type="dxa"/>
              <w:end w:w="100" w:type="dxa"/>
            </w:tcMar>
            <w:vAlign w:val="top"/>
          </w:tcPr>
          <w:p>
            <w:pPr>
              <w:spacing w:after="30"/>
            </w:pPr>
            <w:r>
              <w:rPr>
                <w:rFonts w:ascii="Aptos" w:hAnsi="Aptos"/>
                <w:sz w:val="14"/>
              </w:rPr>
              <w:t>Use recurring monthly bands and change scope by ownership depth.</w:t>
            </w:r>
          </w:p>
        </w:tc>
        <w:tc>
          <w:tcPr>
            <w:tcW w:type="dxa" w:w="5544"/>
            <w:tcMar>
              <w:top w:w="90" w:type="dxa"/>
              <w:start w:w="100" w:type="dxa"/>
              <w:bottom w:w="90" w:type="dxa"/>
              <w:end w:w="100" w:type="dxa"/>
            </w:tcMar>
            <w:vAlign w:val="top"/>
          </w:tcPr>
          <w:p>
            <w:pPr>
              <w:spacing w:after="30"/>
            </w:pPr>
            <w:r>
              <w:rPr>
                <w:rFonts w:ascii="Aptos" w:hAnsi="Aptos"/>
                <w:sz w:val="14"/>
              </w:rPr>
              <w:t>Cyvelle internal guide has $5,500, $8,500, and $12,000 monthly leadership tiers. Atlant currently publishes $3,300, $5,900, and $12,000 vCISO tiers.</w:t>
            </w:r>
          </w:p>
        </w:tc>
      </w:tr>
      <w:tr>
        <w:trPr>
          <w:cantSplit/>
        </w:trPr>
        <w:tc>
          <w:tcPr>
            <w:tcW w:type="dxa" w:w="1800"/>
            <w:tcMar>
              <w:top w:w="90" w:type="dxa"/>
              <w:start w:w="100" w:type="dxa"/>
              <w:bottom w:w="90" w:type="dxa"/>
              <w:end w:w="100" w:type="dxa"/>
            </w:tcMar>
            <w:vAlign w:val="top"/>
          </w:tcPr>
          <w:p>
            <w:pPr>
              <w:spacing w:after="30"/>
            </w:pPr>
            <w:r>
              <w:rPr>
                <w:rFonts w:ascii="Aptos" w:hAnsi="Aptos"/>
                <w:sz w:val="14"/>
              </w:rPr>
              <w:t>Readiness pricing</w:t>
            </w:r>
          </w:p>
        </w:tc>
        <w:tc>
          <w:tcPr>
            <w:tcW w:type="dxa" w:w="3456"/>
            <w:tcMar>
              <w:top w:w="90" w:type="dxa"/>
              <w:start w:w="100" w:type="dxa"/>
              <w:bottom w:w="90" w:type="dxa"/>
              <w:end w:w="100" w:type="dxa"/>
            </w:tcMar>
            <w:vAlign w:val="top"/>
          </w:tcPr>
          <w:p>
            <w:pPr>
              <w:spacing w:after="30"/>
            </w:pPr>
            <w:r>
              <w:rPr>
                <w:rFonts w:ascii="Aptos" w:hAnsi="Aptos"/>
                <w:sz w:val="14"/>
              </w:rPr>
              <w:t>Use assessment, full readiness, and complex/expanded scope bands.</w:t>
            </w:r>
          </w:p>
        </w:tc>
        <w:tc>
          <w:tcPr>
            <w:tcW w:type="dxa" w:w="5544"/>
            <w:tcMar>
              <w:top w:w="90" w:type="dxa"/>
              <w:start w:w="100" w:type="dxa"/>
              <w:bottom w:w="90" w:type="dxa"/>
              <w:end w:w="100" w:type="dxa"/>
            </w:tcMar>
            <w:vAlign w:val="top"/>
          </w:tcPr>
          <w:p>
            <w:pPr>
              <w:spacing w:after="30"/>
            </w:pPr>
            <w:r>
              <w:rPr>
                <w:rFonts w:ascii="Aptos" w:hAnsi="Aptos"/>
                <w:sz w:val="14"/>
              </w:rPr>
              <w:t>Atlant ISO 27001 uses Gap Assessment / Full Readiness / Dual Certification. HITRUST uses e1 / i1 / r2. Cyvelle's own guide uses the same scope-progressive logic.</w:t>
            </w:r>
          </w:p>
        </w:tc>
      </w:tr>
      <w:tr>
        <w:trPr>
          <w:cantSplit/>
        </w:trPr>
        <w:tc>
          <w:tcPr>
            <w:tcW w:type="dxa" w:w="1800"/>
            <w:tcMar>
              <w:top w:w="90" w:type="dxa"/>
              <w:start w:w="100" w:type="dxa"/>
              <w:bottom w:w="90" w:type="dxa"/>
              <w:end w:w="100" w:type="dxa"/>
            </w:tcMar>
            <w:vAlign w:val="top"/>
          </w:tcPr>
          <w:p>
            <w:pPr>
              <w:spacing w:after="30"/>
            </w:pPr>
            <w:r>
              <w:rPr>
                <w:rFonts w:ascii="Aptos" w:hAnsi="Aptos"/>
                <w:sz w:val="14"/>
              </w:rPr>
              <w:t>External assurance cost</w:t>
            </w:r>
          </w:p>
        </w:tc>
        <w:tc>
          <w:tcPr>
            <w:tcW w:type="dxa" w:w="3456"/>
            <w:tcMar>
              <w:top w:w="90" w:type="dxa"/>
              <w:start w:w="100" w:type="dxa"/>
              <w:bottom w:w="90" w:type="dxa"/>
              <w:end w:w="100" w:type="dxa"/>
            </w:tcMar>
            <w:vAlign w:val="top"/>
          </w:tcPr>
          <w:p>
            <w:pPr>
              <w:spacing w:after="30"/>
            </w:pPr>
            <w:r>
              <w:rPr>
                <w:rFonts w:ascii="Aptos" w:hAnsi="Aptos"/>
                <w:sz w:val="14"/>
              </w:rPr>
              <w:t>Keep independent audit/certification/testing fees outside Cyvelle pricing.</w:t>
            </w:r>
          </w:p>
        </w:tc>
        <w:tc>
          <w:tcPr>
            <w:tcW w:type="dxa" w:w="5544"/>
            <w:tcMar>
              <w:top w:w="90" w:type="dxa"/>
              <w:start w:w="100" w:type="dxa"/>
              <w:bottom w:w="90" w:type="dxa"/>
              <w:end w:w="100" w:type="dxa"/>
            </w:tcMar>
            <w:vAlign w:val="top"/>
          </w:tcPr>
          <w:p>
            <w:pPr>
              <w:spacing w:after="30"/>
            </w:pPr>
            <w:r>
              <w:rPr>
                <w:rFonts w:ascii="Aptos" w:hAnsi="Aptos"/>
                <w:sz w:val="14"/>
              </w:rPr>
              <w:t>Atlant's SOC 2 and ISO 27001 pages separate CPA/certification-body fees. Cyvelle's pricing guide also excludes external audit/certification, software, legal, testing, remediation, and travel.</w:t>
            </w:r>
          </w:p>
        </w:tc>
      </w:tr>
      <w:tr>
        <w:trPr>
          <w:cantSplit/>
        </w:trPr>
        <w:tc>
          <w:tcPr>
            <w:tcW w:type="dxa" w:w="1800"/>
            <w:tcMar>
              <w:top w:w="90" w:type="dxa"/>
              <w:start w:w="100" w:type="dxa"/>
              <w:bottom w:w="90" w:type="dxa"/>
              <w:end w:w="100" w:type="dxa"/>
            </w:tcMar>
            <w:vAlign w:val="top"/>
          </w:tcPr>
          <w:p>
            <w:pPr>
              <w:spacing w:after="30"/>
            </w:pPr>
            <w:r>
              <w:rPr>
                <w:rFonts w:ascii="Aptos" w:hAnsi="Aptos"/>
                <w:sz w:val="14"/>
              </w:rPr>
              <w:t>Founder proof</w:t>
            </w:r>
          </w:p>
        </w:tc>
        <w:tc>
          <w:tcPr>
            <w:tcW w:type="dxa" w:w="3456"/>
            <w:tcMar>
              <w:top w:w="90" w:type="dxa"/>
              <w:start w:w="100" w:type="dxa"/>
              <w:bottom w:w="90" w:type="dxa"/>
              <w:end w:w="100" w:type="dxa"/>
            </w:tcMar>
            <w:vAlign w:val="top"/>
          </w:tcPr>
          <w:p>
            <w:pPr>
              <w:spacing w:after="30"/>
            </w:pPr>
            <w:r>
              <w:rPr>
                <w:rFonts w:ascii="Aptos" w:hAnsi="Aptos"/>
                <w:sz w:val="14"/>
              </w:rPr>
              <w:t>Keep one compact founder module on service pages.</w:t>
            </w:r>
          </w:p>
        </w:tc>
        <w:tc>
          <w:tcPr>
            <w:tcW w:type="dxa" w:w="5544"/>
            <w:tcMar>
              <w:top w:w="90" w:type="dxa"/>
              <w:start w:w="100" w:type="dxa"/>
              <w:bottom w:w="90" w:type="dxa"/>
              <w:end w:w="100" w:type="dxa"/>
            </w:tcMar>
            <w:vAlign w:val="top"/>
          </w:tcPr>
          <w:p>
            <w:pPr>
              <w:spacing w:after="30"/>
            </w:pPr>
            <w:r>
              <w:rPr>
                <w:rFonts w:ascii="Aptos" w:hAnsi="Aptos"/>
                <w:sz w:val="14"/>
              </w:rPr>
              <w:t>The current Cyvelle master requires founder continuity without biography repetition. Atlant repeats a named founder-led module on service pages.</w:t>
            </w:r>
          </w:p>
        </w:tc>
      </w:tr>
      <w:tr>
        <w:trPr>
          <w:cantSplit/>
        </w:trPr>
        <w:tc>
          <w:tcPr>
            <w:tcW w:type="dxa" w:w="1800"/>
            <w:tcMar>
              <w:top w:w="90" w:type="dxa"/>
              <w:start w:w="100" w:type="dxa"/>
              <w:bottom w:w="90" w:type="dxa"/>
              <w:end w:w="100" w:type="dxa"/>
            </w:tcMar>
            <w:vAlign w:val="top"/>
          </w:tcPr>
          <w:p>
            <w:pPr>
              <w:spacing w:after="30"/>
            </w:pPr>
            <w:r>
              <w:rPr>
                <w:rFonts w:ascii="Aptos" w:hAnsi="Aptos"/>
                <w:sz w:val="14"/>
              </w:rPr>
              <w:t>30-minute CTA</w:t>
            </w:r>
          </w:p>
        </w:tc>
        <w:tc>
          <w:tcPr>
            <w:tcW w:type="dxa" w:w="3456"/>
            <w:tcMar>
              <w:top w:w="90" w:type="dxa"/>
              <w:start w:w="100" w:type="dxa"/>
              <w:bottom w:w="90" w:type="dxa"/>
              <w:end w:w="100" w:type="dxa"/>
            </w:tcMar>
            <w:vAlign w:val="top"/>
          </w:tcPr>
          <w:p>
            <w:pPr>
              <w:spacing w:after="30"/>
            </w:pPr>
            <w:r>
              <w:rPr>
                <w:rFonts w:ascii="Aptos" w:hAnsi="Aptos"/>
                <w:sz w:val="14"/>
              </w:rPr>
              <w:t>Use one sitewide primary consultation CTA.</w:t>
            </w:r>
          </w:p>
        </w:tc>
        <w:tc>
          <w:tcPr>
            <w:tcW w:type="dxa" w:w="5544"/>
            <w:tcMar>
              <w:top w:w="90" w:type="dxa"/>
              <w:start w:w="100" w:type="dxa"/>
              <w:bottom w:w="90" w:type="dxa"/>
              <w:end w:w="100" w:type="dxa"/>
            </w:tcMar>
            <w:vAlign w:val="top"/>
          </w:tcPr>
          <w:p>
            <w:pPr>
              <w:spacing w:after="30"/>
            </w:pPr>
            <w:r>
              <w:rPr>
                <w:rFonts w:ascii="Aptos" w:hAnsi="Aptos"/>
                <w:sz w:val="14"/>
              </w:rPr>
              <w:t>Cyvelle master explicitly approves 30 minutes. Atlant current service pages also close with a free 30-minute consultation.</w:t>
            </w:r>
          </w:p>
        </w:tc>
      </w:tr>
    </w:tbl>
    <w:p>
      <w:pPr>
        <w:pStyle w:val="Heading1"/>
      </w:pPr>
      <w:r>
        <w:t>3. Primary Navigation and Site Structure</w:t>
      </w:r>
    </w:p>
    <w:p>
      <w:r>
        <w:t>Primary navigation</w:t>
      </w:r>
    </w:p>
    <w:p>
      <w:pPr>
        <w:pStyle w:val="ListBullet"/>
        <w:ind w:left="288" w:hanging="173"/>
      </w:pPr>
      <w:r>
        <w:t>Home</w:t>
      </w:r>
    </w:p>
    <w:p>
      <w:pPr>
        <w:pStyle w:val="ListBullet"/>
        <w:ind w:left="288" w:hanging="173"/>
      </w:pPr>
      <w:r>
        <w:t>Services</w:t>
      </w:r>
    </w:p>
    <w:p>
      <w:pPr>
        <w:pStyle w:val="ListBullet"/>
        <w:ind w:left="288" w:hanging="173"/>
      </w:pPr>
      <w:r>
        <w:t>The Governance Blueprint</w:t>
      </w:r>
    </w:p>
    <w:p>
      <w:pPr>
        <w:pStyle w:val="ListBullet"/>
        <w:ind w:left="288" w:hanging="173"/>
      </w:pPr>
      <w:r>
        <w:t>Intelligence</w:t>
      </w:r>
    </w:p>
    <w:p>
      <w:pPr>
        <w:pStyle w:val="ListBullet"/>
        <w:ind w:left="288" w:hanging="173"/>
      </w:pPr>
      <w:r>
        <w:t>About</w:t>
      </w:r>
    </w:p>
    <w:p>
      <w:pPr>
        <w:pStyle w:val="ListBullet"/>
        <w:ind w:left="288" w:hanging="173"/>
      </w:pPr>
      <w:r>
        <w:t>Contact</w:t>
      </w:r>
    </w:p>
    <w:p>
      <w:r>
        <w:t>Persistent header button: Book a 30-Minute Consultation.</w:t>
      </w:r>
    </w:p>
    <w:p>
      <w:r>
        <w:t>Pricing is an indexable utility page at /pricing. Keep it out of the primary navigation. Link it from the Services mega-menu utility row, footer, and service pricing sections. This preserves the approved six-item primary navigation while supporting the SEO pricing intent in Priority 4.</w:t>
      </w:r>
    </w:p>
    <w:p>
      <w:pPr>
        <w:pStyle w:val="Heading2"/>
      </w:pPr>
      <w:r>
        <w:t>Services mega menu</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tcMar>
              <w:top w:w="90" w:type="dxa"/>
              <w:start w:w="100" w:type="dxa"/>
              <w:bottom w:w="90" w:type="dxa"/>
              <w:end w:w="100" w:type="dxa"/>
            </w:tcMar>
            <w:vAlign w:val="top"/>
            <w:shd w:fill="D9EAF7"/>
          </w:tcPr>
          <w:p>
            <w:pPr>
              <w:spacing w:after="30"/>
            </w:pPr>
            <w:r>
              <w:rPr>
                <w:rFonts w:ascii="Aptos" w:hAnsi="Aptos"/>
                <w:b/>
                <w:sz w:val="15"/>
              </w:rPr>
              <w:t>Executive Security &amp; Compliance Leadership</w:t>
            </w:r>
          </w:p>
        </w:tc>
        <w:tc>
          <w:tcPr>
            <w:tcW w:type="dxa" w:w="2541"/>
            <w:tcMar>
              <w:top w:w="90" w:type="dxa"/>
              <w:start w:w="100" w:type="dxa"/>
              <w:bottom w:w="90" w:type="dxa"/>
              <w:end w:w="100" w:type="dxa"/>
            </w:tcMar>
            <w:vAlign w:val="top"/>
            <w:shd w:fill="D9EAF7"/>
          </w:tcPr>
          <w:p>
            <w:pPr>
              <w:spacing w:after="30"/>
            </w:pPr>
            <w:r>
              <w:rPr>
                <w:rFonts w:ascii="Aptos" w:hAnsi="Aptos"/>
                <w:b/>
                <w:sz w:val="15"/>
              </w:rPr>
              <w:t>Compliance &amp; Certification Readiness</w:t>
            </w:r>
          </w:p>
        </w:tc>
        <w:tc>
          <w:tcPr>
            <w:tcW w:type="dxa" w:w="2541"/>
            <w:tcMar>
              <w:top w:w="90" w:type="dxa"/>
              <w:start w:w="100" w:type="dxa"/>
              <w:bottom w:w="90" w:type="dxa"/>
              <w:end w:w="100" w:type="dxa"/>
            </w:tcMar>
            <w:vAlign w:val="top"/>
            <w:shd w:fill="D9EAF7"/>
          </w:tcPr>
          <w:p>
            <w:pPr>
              <w:spacing w:after="30"/>
            </w:pPr>
            <w:r>
              <w:rPr>
                <w:rFonts w:ascii="Aptos" w:hAnsi="Aptos"/>
                <w:b/>
                <w:sz w:val="15"/>
              </w:rPr>
              <w:t>Cyber Risk &amp; Resilience</w:t>
            </w:r>
          </w:p>
        </w:tc>
        <w:tc>
          <w:tcPr>
            <w:tcW w:type="dxa" w:w="2541"/>
            <w:tcMar>
              <w:top w:w="90" w:type="dxa"/>
              <w:start w:w="100" w:type="dxa"/>
              <w:bottom w:w="90" w:type="dxa"/>
              <w:end w:w="100" w:type="dxa"/>
            </w:tcMar>
            <w:vAlign w:val="top"/>
            <w:shd w:fill="D9EAF7"/>
          </w:tcPr>
          <w:p>
            <w:pPr>
              <w:spacing w:after="30"/>
            </w:pPr>
            <w:r>
              <w:rPr>
                <w:rFonts w:ascii="Aptos" w:hAnsi="Aptos"/>
                <w:b/>
                <w:sz w:val="15"/>
              </w:rPr>
              <w:t>AI Governance &amp; Responsible AI</w:t>
            </w:r>
          </w:p>
        </w:tc>
      </w:tr>
      <w:tr>
        <w:trPr>
          <w:cantSplit/>
        </w:trPr>
        <w:tc>
          <w:tcPr>
            <w:tcW w:type="dxa" w:w="2541"/>
            <w:tcMar>
              <w:top w:w="90" w:type="dxa"/>
              <w:start w:w="100" w:type="dxa"/>
              <w:bottom w:w="90" w:type="dxa"/>
              <w:end w:w="100" w:type="dxa"/>
            </w:tcMar>
            <w:vAlign w:val="top"/>
          </w:tcPr>
          <w:p>
            <w:pPr>
              <w:spacing w:after="30"/>
            </w:pPr>
            <w:r>
              <w:rPr>
                <w:rFonts w:ascii="Aptos" w:hAnsi="Aptos"/>
                <w:sz w:val="15"/>
              </w:rPr>
              <w:t>Virtual CISO</w:t>
            </w:r>
          </w:p>
        </w:tc>
        <w:tc>
          <w:tcPr>
            <w:tcW w:type="dxa" w:w="2541"/>
            <w:tcMar>
              <w:top w:w="90" w:type="dxa"/>
              <w:start w:w="100" w:type="dxa"/>
              <w:bottom w:w="90" w:type="dxa"/>
              <w:end w:w="100" w:type="dxa"/>
            </w:tcMar>
            <w:vAlign w:val="top"/>
          </w:tcPr>
          <w:p>
            <w:pPr>
              <w:spacing w:after="30"/>
            </w:pPr>
            <w:r>
              <w:rPr>
                <w:rFonts w:ascii="Aptos" w:hAnsi="Aptos"/>
                <w:sz w:val="15"/>
              </w:rPr>
              <w:t>SOC 2 Readiness</w:t>
            </w:r>
          </w:p>
        </w:tc>
        <w:tc>
          <w:tcPr>
            <w:tcW w:type="dxa" w:w="2541"/>
            <w:tcMar>
              <w:top w:w="90" w:type="dxa"/>
              <w:start w:w="100" w:type="dxa"/>
              <w:bottom w:w="90" w:type="dxa"/>
              <w:end w:w="100" w:type="dxa"/>
            </w:tcMar>
            <w:vAlign w:val="top"/>
          </w:tcPr>
          <w:p>
            <w:pPr>
              <w:spacing w:after="30"/>
            </w:pPr>
            <w:r>
              <w:rPr>
                <w:rFonts w:ascii="Aptos" w:hAnsi="Aptos"/>
                <w:sz w:val="15"/>
              </w:rPr>
              <w:t>Third-Party Risk Management</w:t>
            </w:r>
          </w:p>
        </w:tc>
        <w:tc>
          <w:tcPr>
            <w:tcW w:type="dxa" w:w="2541"/>
            <w:tcMar>
              <w:top w:w="90" w:type="dxa"/>
              <w:start w:w="100" w:type="dxa"/>
              <w:bottom w:w="90" w:type="dxa"/>
              <w:end w:w="100" w:type="dxa"/>
            </w:tcMar>
            <w:vAlign w:val="top"/>
          </w:tcPr>
          <w:p>
            <w:pPr>
              <w:spacing w:after="30"/>
            </w:pPr>
            <w:r>
              <w:rPr>
                <w:rFonts w:ascii="Aptos" w:hAnsi="Aptos"/>
                <w:sz w:val="15"/>
              </w:rPr>
              <w:t>ISO 42001 Readiness</w:t>
            </w:r>
          </w:p>
        </w:tc>
      </w:tr>
      <w:tr>
        <w:trPr>
          <w:cantSplit/>
        </w:trPr>
        <w:tc>
          <w:tcPr>
            <w:tcW w:type="dxa" w:w="2541"/>
            <w:tcMar>
              <w:top w:w="90" w:type="dxa"/>
              <w:start w:w="100" w:type="dxa"/>
              <w:bottom w:w="90" w:type="dxa"/>
              <w:end w:w="100" w:type="dxa"/>
            </w:tcMar>
            <w:vAlign w:val="top"/>
          </w:tcPr>
          <w:p>
            <w:pPr>
              <w:spacing w:after="30"/>
            </w:pPr>
            <w:r>
              <w:rPr>
                <w:rFonts w:ascii="Aptos" w:hAnsi="Aptos"/>
                <w:sz w:val="15"/>
              </w:rPr>
              <w:t>Part-Time CISO</w:t>
            </w:r>
          </w:p>
        </w:tc>
        <w:tc>
          <w:tcPr>
            <w:tcW w:type="dxa" w:w="2541"/>
            <w:tcMar>
              <w:top w:w="90" w:type="dxa"/>
              <w:start w:w="100" w:type="dxa"/>
              <w:bottom w:w="90" w:type="dxa"/>
              <w:end w:w="100" w:type="dxa"/>
            </w:tcMar>
            <w:vAlign w:val="top"/>
          </w:tcPr>
          <w:p>
            <w:pPr>
              <w:spacing w:after="30"/>
            </w:pPr>
            <w:r>
              <w:rPr>
                <w:rFonts w:ascii="Aptos" w:hAnsi="Aptos"/>
                <w:sz w:val="15"/>
              </w:rPr>
              <w:t>ISO 27001 Readiness</w:t>
            </w:r>
          </w:p>
        </w:tc>
        <w:tc>
          <w:tcPr>
            <w:tcW w:type="dxa" w:w="2541"/>
            <w:tcMar>
              <w:top w:w="90" w:type="dxa"/>
              <w:start w:w="100" w:type="dxa"/>
              <w:bottom w:w="90" w:type="dxa"/>
              <w:end w:w="100" w:type="dxa"/>
            </w:tcMar>
            <w:vAlign w:val="top"/>
          </w:tcPr>
          <w:p>
            <w:pPr>
              <w:spacing w:after="30"/>
            </w:pPr>
            <w:r>
              <w:rPr>
                <w:rFonts w:ascii="Aptos" w:hAnsi="Aptos"/>
                <w:sz w:val="15"/>
              </w:rPr>
              <w:t>Incident Response Planning</w:t>
            </w:r>
          </w:p>
        </w:tc>
        <w:tc>
          <w:tcPr>
            <w:tcW w:type="dxa" w:w="2541"/>
            <w:tcMar>
              <w:top w:w="90" w:type="dxa"/>
              <w:start w:w="100" w:type="dxa"/>
              <w:bottom w:w="90" w:type="dxa"/>
              <w:end w:w="100" w:type="dxa"/>
            </w:tcMar>
            <w:vAlign w:val="top"/>
          </w:tcPr>
          <w:p>
            <w:pPr>
              <w:spacing w:after="30"/>
            </w:pPr>
            <w:r>
              <w:rPr>
                <w:rFonts w:ascii="Aptos" w:hAnsi="Aptos"/>
                <w:sz w:val="15"/>
              </w:rPr>
              <w:t>EU AI Act Readiness</w:t>
            </w:r>
          </w:p>
        </w:tc>
      </w:tr>
      <w:tr>
        <w:trPr>
          <w:cantSplit/>
        </w:trPr>
        <w:tc>
          <w:tcPr>
            <w:tcW w:type="dxa" w:w="2541"/>
            <w:tcMar>
              <w:top w:w="90" w:type="dxa"/>
              <w:start w:w="100" w:type="dxa"/>
              <w:bottom w:w="90" w:type="dxa"/>
              <w:end w:w="100" w:type="dxa"/>
            </w:tcMar>
            <w:vAlign w:val="top"/>
          </w:tcPr>
          <w:p>
            <w:pPr>
              <w:spacing w:after="30"/>
            </w:pPr>
            <w:r>
              <w:rPr>
                <w:rFonts w:ascii="Aptos" w:hAnsi="Aptos"/>
                <w:sz w:val="15"/>
              </w:rPr>
              <w:t>Fractional Compliance Officer</w:t>
            </w:r>
          </w:p>
        </w:tc>
        <w:tc>
          <w:tcPr>
            <w:tcW w:type="dxa" w:w="2541"/>
            <w:tcMar>
              <w:top w:w="90" w:type="dxa"/>
              <w:start w:w="100" w:type="dxa"/>
              <w:bottom w:w="90" w:type="dxa"/>
              <w:end w:w="100" w:type="dxa"/>
            </w:tcMar>
            <w:vAlign w:val="top"/>
          </w:tcPr>
          <w:p>
            <w:pPr>
              <w:spacing w:after="30"/>
            </w:pPr>
            <w:r>
              <w:rPr>
                <w:rFonts w:ascii="Aptos" w:hAnsi="Aptos"/>
                <w:sz w:val="15"/>
              </w:rPr>
              <w:t>PCI DSS Readiness</w:t>
            </w:r>
          </w:p>
        </w:tc>
        <w:tc>
          <w:tcPr>
            <w:tcW w:type="dxa" w:w="2541"/>
            <w:tcMar>
              <w:top w:w="90" w:type="dxa"/>
              <w:start w:w="100" w:type="dxa"/>
              <w:bottom w:w="90" w:type="dxa"/>
              <w:end w:w="100" w:type="dxa"/>
            </w:tcMar>
            <w:vAlign w:val="top"/>
          </w:tcPr>
          <w:p>
            <w:pPr>
              <w:spacing w:after="30"/>
            </w:pPr>
            <w:r>
              <w:rPr>
                <w:rFonts w:ascii="Aptos" w:hAnsi="Aptos"/>
                <w:sz w:val="15"/>
              </w:rPr>
              <w:t>Cybersecurity Maturity Assessment</w:t>
            </w:r>
          </w:p>
        </w:tc>
        <w:tc>
          <w:tcPr>
            <w:tcW w:type="dxa" w:w="2541"/>
            <w:tcMar>
              <w:top w:w="90" w:type="dxa"/>
              <w:start w:w="100" w:type="dxa"/>
              <w:bottom w:w="90" w:type="dxa"/>
              <w:end w:w="100" w:type="dxa"/>
            </w:tcMar>
            <w:vAlign w:val="top"/>
          </w:tcPr>
          <w:p>
            <w:pPr>
              <w:spacing w:after="30"/>
            </w:pPr>
            <w:r>
              <w:rPr>
                <w:rFonts w:ascii="Aptos" w:hAnsi="Aptos"/>
                <w:sz w:val="15"/>
              </w:rPr>
              <w:t>NIST AI RMF Alignment</w:t>
            </w:r>
          </w:p>
        </w:tc>
      </w:tr>
      <w:tr>
        <w:trPr>
          <w:cantSplit/>
        </w:trPr>
        <w:tc>
          <w:tcPr>
            <w:tcW w:type="dxa" w:w="2541"/>
            <w:tcMar>
              <w:top w:w="90" w:type="dxa"/>
              <w:start w:w="100" w:type="dxa"/>
              <w:bottom w:w="90" w:type="dxa"/>
              <w:end w:w="100" w:type="dxa"/>
            </w:tcMar>
            <w:vAlign w:val="top"/>
          </w:tcPr>
          <w:p>
            <w:pPr>
              <w:spacing w:after="30"/>
            </w:pPr>
            <w:r>
              <w:rPr>
                <w:rFonts w:ascii="Aptos" w:hAnsi="Aptos"/>
                <w:sz w:val="15"/>
              </w:rPr>
            </w:r>
          </w:p>
        </w:tc>
        <w:tc>
          <w:tcPr>
            <w:tcW w:type="dxa" w:w="2541"/>
            <w:tcMar>
              <w:top w:w="90" w:type="dxa"/>
              <w:start w:w="100" w:type="dxa"/>
              <w:bottom w:w="90" w:type="dxa"/>
              <w:end w:w="100" w:type="dxa"/>
            </w:tcMar>
            <w:vAlign w:val="top"/>
          </w:tcPr>
          <w:p>
            <w:pPr>
              <w:spacing w:after="30"/>
            </w:pPr>
            <w:r>
              <w:rPr>
                <w:rFonts w:ascii="Aptos" w:hAnsi="Aptos"/>
                <w:sz w:val="15"/>
              </w:rPr>
              <w:t>HIPAA Readiness</w:t>
            </w:r>
          </w:p>
        </w:tc>
        <w:tc>
          <w:tcPr>
            <w:tcW w:type="dxa" w:w="2541"/>
            <w:tcMar>
              <w:top w:w="90" w:type="dxa"/>
              <w:start w:w="100" w:type="dxa"/>
              <w:bottom w:w="90" w:type="dxa"/>
              <w:end w:w="100" w:type="dxa"/>
            </w:tcMar>
            <w:vAlign w:val="top"/>
          </w:tcPr>
          <w:p>
            <w:pPr>
              <w:spacing w:after="30"/>
            </w:pPr>
            <w:r>
              <w:rPr>
                <w:rFonts w:ascii="Aptos" w:hAnsi="Aptos"/>
                <w:sz w:val="15"/>
              </w:rPr>
              <w:t>Security for Startups</w:t>
            </w:r>
          </w:p>
        </w:tc>
        <w:tc>
          <w:tcPr>
            <w:tcW w:type="dxa" w:w="2541"/>
            <w:tcMar>
              <w:top w:w="90" w:type="dxa"/>
              <w:start w:w="100" w:type="dxa"/>
              <w:bottom w:w="90" w:type="dxa"/>
              <w:end w:w="100" w:type="dxa"/>
            </w:tcMar>
            <w:vAlign w:val="top"/>
          </w:tcPr>
          <w:p>
            <w:pPr>
              <w:spacing w:after="30"/>
            </w:pPr>
            <w:r>
              <w:rPr>
                <w:rFonts w:ascii="Aptos" w:hAnsi="Aptos"/>
                <w:sz w:val="15"/>
              </w:rPr>
            </w:r>
          </w:p>
        </w:tc>
      </w:tr>
      <w:tr>
        <w:trPr>
          <w:cantSplit/>
        </w:trPr>
        <w:tc>
          <w:tcPr>
            <w:tcW w:type="dxa" w:w="2541"/>
            <w:tcMar>
              <w:top w:w="90" w:type="dxa"/>
              <w:start w:w="100" w:type="dxa"/>
              <w:bottom w:w="90" w:type="dxa"/>
              <w:end w:w="100" w:type="dxa"/>
            </w:tcMar>
            <w:vAlign w:val="top"/>
          </w:tcPr>
          <w:p>
            <w:pPr>
              <w:spacing w:after="30"/>
            </w:pPr>
            <w:r>
              <w:rPr>
                <w:rFonts w:ascii="Aptos" w:hAnsi="Aptos"/>
                <w:sz w:val="15"/>
              </w:rPr>
            </w:r>
          </w:p>
        </w:tc>
        <w:tc>
          <w:tcPr>
            <w:tcW w:type="dxa" w:w="2541"/>
            <w:tcMar>
              <w:top w:w="90" w:type="dxa"/>
              <w:start w:w="100" w:type="dxa"/>
              <w:bottom w:w="90" w:type="dxa"/>
              <w:end w:w="100" w:type="dxa"/>
            </w:tcMar>
            <w:vAlign w:val="top"/>
          </w:tcPr>
          <w:p>
            <w:pPr>
              <w:spacing w:after="30"/>
            </w:pPr>
            <w:r>
              <w:rPr>
                <w:rFonts w:ascii="Aptos" w:hAnsi="Aptos"/>
                <w:sz w:val="15"/>
              </w:rPr>
              <w:t>HITRUST Readiness Support</w:t>
            </w:r>
          </w:p>
        </w:tc>
        <w:tc>
          <w:tcPr>
            <w:tcW w:type="dxa" w:w="2541"/>
            <w:tcMar>
              <w:top w:w="90" w:type="dxa"/>
              <w:start w:w="100" w:type="dxa"/>
              <w:bottom w:w="90" w:type="dxa"/>
              <w:end w:w="100" w:type="dxa"/>
            </w:tcMar>
            <w:vAlign w:val="top"/>
          </w:tcPr>
          <w:p>
            <w:pPr>
              <w:spacing w:after="30"/>
            </w:pPr>
            <w:r>
              <w:rPr>
                <w:rFonts w:ascii="Aptos" w:hAnsi="Aptos"/>
                <w:sz w:val="15"/>
              </w:rPr>
              <w:t>Cloud Security Consulting</w:t>
            </w:r>
          </w:p>
        </w:tc>
        <w:tc>
          <w:tcPr>
            <w:tcW w:type="dxa" w:w="2541"/>
            <w:tcMar>
              <w:top w:w="90" w:type="dxa"/>
              <w:start w:w="100" w:type="dxa"/>
              <w:bottom w:w="90" w:type="dxa"/>
              <w:end w:w="100" w:type="dxa"/>
            </w:tcMar>
            <w:vAlign w:val="top"/>
          </w:tcPr>
          <w:p>
            <w:pPr>
              <w:spacing w:after="30"/>
            </w:pPr>
            <w:r>
              <w:rPr>
                <w:rFonts w:ascii="Aptos" w:hAnsi="Aptos"/>
                <w:sz w:val="15"/>
              </w:rPr>
            </w:r>
          </w:p>
        </w:tc>
      </w:tr>
      <w:tr>
        <w:trPr>
          <w:cantSplit/>
        </w:trPr>
        <w:tc>
          <w:tcPr>
            <w:tcW w:type="dxa" w:w="2541"/>
            <w:tcMar>
              <w:top w:w="90" w:type="dxa"/>
              <w:start w:w="100" w:type="dxa"/>
              <w:bottom w:w="90" w:type="dxa"/>
              <w:end w:w="100" w:type="dxa"/>
            </w:tcMar>
            <w:vAlign w:val="top"/>
          </w:tcPr>
          <w:p>
            <w:pPr>
              <w:spacing w:after="30"/>
            </w:pPr>
            <w:r>
              <w:rPr>
                <w:rFonts w:ascii="Aptos" w:hAnsi="Aptos"/>
                <w:sz w:val="15"/>
              </w:rPr>
            </w:r>
          </w:p>
        </w:tc>
        <w:tc>
          <w:tcPr>
            <w:tcW w:type="dxa" w:w="2541"/>
            <w:tcMar>
              <w:top w:w="90" w:type="dxa"/>
              <w:start w:w="100" w:type="dxa"/>
              <w:bottom w:w="90" w:type="dxa"/>
              <w:end w:w="100" w:type="dxa"/>
            </w:tcMar>
            <w:vAlign w:val="top"/>
          </w:tcPr>
          <w:p>
            <w:pPr>
              <w:spacing w:after="30"/>
            </w:pPr>
            <w:r>
              <w:rPr>
                <w:rFonts w:ascii="Aptos" w:hAnsi="Aptos"/>
                <w:sz w:val="15"/>
              </w:rPr>
              <w:t>CMMC Readiness</w:t>
            </w:r>
          </w:p>
        </w:tc>
        <w:tc>
          <w:tcPr>
            <w:tcW w:type="dxa" w:w="2541"/>
            <w:tcMar>
              <w:top w:w="90" w:type="dxa"/>
              <w:start w:w="100" w:type="dxa"/>
              <w:bottom w:w="90" w:type="dxa"/>
              <w:end w:w="100" w:type="dxa"/>
            </w:tcMar>
            <w:vAlign w:val="top"/>
          </w:tcPr>
          <w:p>
            <w:pPr>
              <w:spacing w:after="30"/>
            </w:pPr>
            <w:r>
              <w:rPr>
                <w:rFonts w:ascii="Aptos" w:hAnsi="Aptos"/>
                <w:sz w:val="15"/>
              </w:rPr>
            </w:r>
          </w:p>
        </w:tc>
        <w:tc>
          <w:tcPr>
            <w:tcW w:type="dxa" w:w="2541"/>
            <w:tcMar>
              <w:top w:w="90" w:type="dxa"/>
              <w:start w:w="100" w:type="dxa"/>
              <w:bottom w:w="90" w:type="dxa"/>
              <w:end w:w="100" w:type="dxa"/>
            </w:tcMar>
            <w:vAlign w:val="top"/>
          </w:tcPr>
          <w:p>
            <w:pPr>
              <w:spacing w:after="30"/>
            </w:pPr>
            <w:r>
              <w:rPr>
                <w:rFonts w:ascii="Aptos" w:hAnsi="Aptos"/>
                <w:sz w:val="15"/>
              </w:rPr>
            </w:r>
          </w:p>
        </w:tc>
      </w:tr>
      <w:tr>
        <w:trPr>
          <w:cantSplit/>
        </w:trPr>
        <w:tc>
          <w:tcPr>
            <w:tcW w:type="dxa" w:w="2541"/>
            <w:tcMar>
              <w:top w:w="90" w:type="dxa"/>
              <w:start w:w="100" w:type="dxa"/>
              <w:bottom w:w="90" w:type="dxa"/>
              <w:end w:w="100" w:type="dxa"/>
            </w:tcMar>
            <w:vAlign w:val="top"/>
          </w:tcPr>
          <w:p>
            <w:pPr>
              <w:spacing w:after="30"/>
            </w:pPr>
            <w:r>
              <w:rPr>
                <w:rFonts w:ascii="Aptos" w:hAnsi="Aptos"/>
                <w:sz w:val="15"/>
              </w:rPr>
            </w:r>
          </w:p>
        </w:tc>
        <w:tc>
          <w:tcPr>
            <w:tcW w:type="dxa" w:w="2541"/>
            <w:tcMar>
              <w:top w:w="90" w:type="dxa"/>
              <w:start w:w="100" w:type="dxa"/>
              <w:bottom w:w="90" w:type="dxa"/>
              <w:end w:w="100" w:type="dxa"/>
            </w:tcMar>
            <w:vAlign w:val="top"/>
          </w:tcPr>
          <w:p>
            <w:pPr>
              <w:spacing w:after="30"/>
            </w:pPr>
            <w:r>
              <w:rPr>
                <w:rFonts w:ascii="Aptos" w:hAnsi="Aptos"/>
                <w:sz w:val="15"/>
              </w:rPr>
              <w:t>NIS2 Compliance Readiness</w:t>
            </w:r>
          </w:p>
        </w:tc>
        <w:tc>
          <w:tcPr>
            <w:tcW w:type="dxa" w:w="2541"/>
            <w:tcMar>
              <w:top w:w="90" w:type="dxa"/>
              <w:start w:w="100" w:type="dxa"/>
              <w:bottom w:w="90" w:type="dxa"/>
              <w:end w:w="100" w:type="dxa"/>
            </w:tcMar>
            <w:vAlign w:val="top"/>
          </w:tcPr>
          <w:p>
            <w:pPr>
              <w:spacing w:after="30"/>
            </w:pPr>
            <w:r>
              <w:rPr>
                <w:rFonts w:ascii="Aptos" w:hAnsi="Aptos"/>
                <w:sz w:val="15"/>
              </w:rPr>
            </w:r>
          </w:p>
        </w:tc>
        <w:tc>
          <w:tcPr>
            <w:tcW w:type="dxa" w:w="2541"/>
            <w:tcMar>
              <w:top w:w="90" w:type="dxa"/>
              <w:start w:w="100" w:type="dxa"/>
              <w:bottom w:w="90" w:type="dxa"/>
              <w:end w:w="100" w:type="dxa"/>
            </w:tcMar>
            <w:vAlign w:val="top"/>
          </w:tcPr>
          <w:p>
            <w:pPr>
              <w:spacing w:after="30"/>
            </w:pPr>
            <w:r>
              <w:rPr>
                <w:rFonts w:ascii="Aptos" w:hAnsi="Aptos"/>
                <w:sz w:val="15"/>
              </w:rPr>
            </w:r>
          </w:p>
        </w:tc>
      </w:tr>
      <w:tr>
        <w:trPr>
          <w:cantSplit/>
        </w:trPr>
        <w:tc>
          <w:tcPr>
            <w:tcW w:type="dxa" w:w="2541"/>
            <w:tcMar>
              <w:top w:w="90" w:type="dxa"/>
              <w:start w:w="100" w:type="dxa"/>
              <w:bottom w:w="90" w:type="dxa"/>
              <w:end w:w="100" w:type="dxa"/>
            </w:tcMar>
            <w:vAlign w:val="top"/>
          </w:tcPr>
          <w:p>
            <w:pPr>
              <w:spacing w:after="30"/>
            </w:pPr>
            <w:r>
              <w:rPr>
                <w:rFonts w:ascii="Aptos" w:hAnsi="Aptos"/>
                <w:sz w:val="15"/>
              </w:rPr>
            </w:r>
          </w:p>
        </w:tc>
        <w:tc>
          <w:tcPr>
            <w:tcW w:type="dxa" w:w="2541"/>
            <w:tcMar>
              <w:top w:w="90" w:type="dxa"/>
              <w:start w:w="100" w:type="dxa"/>
              <w:bottom w:w="90" w:type="dxa"/>
              <w:end w:w="100" w:type="dxa"/>
            </w:tcMar>
            <w:vAlign w:val="top"/>
          </w:tcPr>
          <w:p>
            <w:pPr>
              <w:spacing w:after="30"/>
            </w:pPr>
            <w:r>
              <w:rPr>
                <w:rFonts w:ascii="Aptos" w:hAnsi="Aptos"/>
                <w:sz w:val="15"/>
              </w:rPr>
              <w:t>Audit and Certification Coordination</w:t>
            </w:r>
          </w:p>
        </w:tc>
        <w:tc>
          <w:tcPr>
            <w:tcW w:type="dxa" w:w="2541"/>
            <w:tcMar>
              <w:top w:w="90" w:type="dxa"/>
              <w:start w:w="100" w:type="dxa"/>
              <w:bottom w:w="90" w:type="dxa"/>
              <w:end w:w="100" w:type="dxa"/>
            </w:tcMar>
            <w:vAlign w:val="top"/>
          </w:tcPr>
          <w:p>
            <w:pPr>
              <w:spacing w:after="30"/>
            </w:pPr>
            <w:r>
              <w:rPr>
                <w:rFonts w:ascii="Aptos" w:hAnsi="Aptos"/>
                <w:sz w:val="15"/>
              </w:rPr>
            </w:r>
          </w:p>
        </w:tc>
        <w:tc>
          <w:tcPr>
            <w:tcW w:type="dxa" w:w="2541"/>
            <w:tcMar>
              <w:top w:w="90" w:type="dxa"/>
              <w:start w:w="100" w:type="dxa"/>
              <w:bottom w:w="90" w:type="dxa"/>
              <w:end w:w="100" w:type="dxa"/>
            </w:tcMar>
            <w:vAlign w:val="top"/>
          </w:tcPr>
          <w:p>
            <w:pPr>
              <w:spacing w:after="30"/>
            </w:pPr>
            <w:r>
              <w:rPr>
                <w:rFonts w:ascii="Aptos" w:hAnsi="Aptos"/>
                <w:sz w:val="15"/>
              </w:rPr>
            </w:r>
          </w:p>
        </w:tc>
      </w:tr>
    </w:tbl>
    <w:p>
      <w:pPr>
        <w:pStyle w:val="Heading2"/>
      </w:pPr>
      <w:r>
        <w:t>Approved URL architecture</w:t>
      </w:r>
    </w:p>
    <w:tbl>
      <w:tblPr>
        <w:tblStyle w:val="TableGrid"/>
        <w:tblW w:type="auto" w:w="0"/>
        <w:jc w:val="center"/>
        <w:tblLook w:firstColumn="1" w:firstRow="1" w:lastColumn="0" w:lastRow="0" w:noHBand="0" w:noVBand="1" w:val="04A0"/>
      </w:tblPr>
      <w:tblGrid>
        <w:gridCol w:w="5083"/>
        <w:gridCol w:w="5083"/>
      </w:tblGrid>
      <w:tr>
        <w:trPr>
          <w:cantSplit/>
        </w:trPr>
        <w:tc>
          <w:tcPr>
            <w:tcW w:type="dxa" w:w="3600"/>
            <w:tcMar>
              <w:top w:w="90" w:type="dxa"/>
              <w:start w:w="100" w:type="dxa"/>
              <w:bottom w:w="90" w:type="dxa"/>
              <w:end w:w="100" w:type="dxa"/>
            </w:tcMar>
            <w:vAlign w:val="top"/>
            <w:shd w:fill="D9EAF7"/>
          </w:tcPr>
          <w:p>
            <w:pPr>
              <w:spacing w:after="30"/>
            </w:pPr>
            <w:r>
              <w:rPr>
                <w:rFonts w:ascii="Aptos" w:hAnsi="Aptos"/>
                <w:b/>
                <w:sz w:val="14"/>
              </w:rPr>
              <w:t>Page</w:t>
            </w:r>
          </w:p>
        </w:tc>
        <w:tc>
          <w:tcPr>
            <w:tcW w:type="dxa" w:w="6912"/>
            <w:tcMar>
              <w:top w:w="90" w:type="dxa"/>
              <w:start w:w="100" w:type="dxa"/>
              <w:bottom w:w="90" w:type="dxa"/>
              <w:end w:w="100" w:type="dxa"/>
            </w:tcMar>
            <w:vAlign w:val="top"/>
            <w:shd w:fill="D9EAF7"/>
          </w:tcPr>
          <w:p>
            <w:pPr>
              <w:spacing w:after="30"/>
            </w:pPr>
            <w:r>
              <w:rPr>
                <w:rFonts w:ascii="Aptos" w:hAnsi="Aptos"/>
                <w:b/>
                <w:sz w:val="14"/>
              </w:rPr>
              <w:t>URL</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Home</w:t>
            </w:r>
          </w:p>
        </w:tc>
        <w:tc>
          <w:tcPr>
            <w:tcW w:type="dxa" w:w="6912"/>
            <w:tcMar>
              <w:top w:w="90" w:type="dxa"/>
              <w:start w:w="100" w:type="dxa"/>
              <w:bottom w:w="90" w:type="dxa"/>
              <w:end w:w="100" w:type="dxa"/>
            </w:tcMar>
            <w:vAlign w:val="top"/>
          </w:tcPr>
          <w:p>
            <w:pPr>
              <w:spacing w:after="30"/>
            </w:pPr>
            <w:r>
              <w:rPr>
                <w:rFonts w:ascii="Aptos" w:hAnsi="Aptos"/>
                <w:sz w:val="14"/>
              </w:rPr>
              <w:t>/</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Governance Blueprint</w:t>
            </w:r>
          </w:p>
        </w:tc>
        <w:tc>
          <w:tcPr>
            <w:tcW w:type="dxa" w:w="6912"/>
            <w:tcMar>
              <w:top w:w="90" w:type="dxa"/>
              <w:start w:w="100" w:type="dxa"/>
              <w:bottom w:w="90" w:type="dxa"/>
              <w:end w:w="100" w:type="dxa"/>
            </w:tcMar>
            <w:vAlign w:val="top"/>
          </w:tcPr>
          <w:p>
            <w:pPr>
              <w:spacing w:after="30"/>
            </w:pPr>
            <w:r>
              <w:rPr>
                <w:rFonts w:ascii="Aptos" w:hAnsi="Aptos"/>
                <w:sz w:val="14"/>
              </w:rPr>
              <w:t>/the-governance-blueprint</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Services</w:t>
            </w:r>
          </w:p>
        </w:tc>
        <w:tc>
          <w:tcPr>
            <w:tcW w:type="dxa" w:w="6912"/>
            <w:tcMar>
              <w:top w:w="90" w:type="dxa"/>
              <w:start w:w="100" w:type="dxa"/>
              <w:bottom w:w="90" w:type="dxa"/>
              <w:end w:w="100" w:type="dxa"/>
            </w:tcMar>
            <w:vAlign w:val="top"/>
          </w:tcPr>
          <w:p>
            <w:pPr>
              <w:spacing w:after="30"/>
            </w:pPr>
            <w:r>
              <w:rPr>
                <w:rFonts w:ascii="Aptos" w:hAnsi="Aptos"/>
                <w:sz w:val="14"/>
              </w:rPr>
              <w:t>/services</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Leadership hub</w:t>
            </w:r>
          </w:p>
        </w:tc>
        <w:tc>
          <w:tcPr>
            <w:tcW w:type="dxa" w:w="6912"/>
            <w:tcMar>
              <w:top w:w="90" w:type="dxa"/>
              <w:start w:w="100" w:type="dxa"/>
              <w:bottom w:w="90" w:type="dxa"/>
              <w:end w:w="100" w:type="dxa"/>
            </w:tcMar>
            <w:vAlign w:val="top"/>
          </w:tcPr>
          <w:p>
            <w:pPr>
              <w:spacing w:after="30"/>
            </w:pPr>
            <w:r>
              <w:rPr>
                <w:rFonts w:ascii="Aptos" w:hAnsi="Aptos"/>
                <w:sz w:val="14"/>
              </w:rPr>
              <w:t>/services/leadership</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Virtual CISO</w:t>
            </w:r>
          </w:p>
        </w:tc>
        <w:tc>
          <w:tcPr>
            <w:tcW w:type="dxa" w:w="6912"/>
            <w:tcMar>
              <w:top w:w="90" w:type="dxa"/>
              <w:start w:w="100" w:type="dxa"/>
              <w:bottom w:w="90" w:type="dxa"/>
              <w:end w:w="100" w:type="dxa"/>
            </w:tcMar>
            <w:vAlign w:val="top"/>
          </w:tcPr>
          <w:p>
            <w:pPr>
              <w:spacing w:after="30"/>
            </w:pPr>
            <w:r>
              <w:rPr>
                <w:rFonts w:ascii="Aptos" w:hAnsi="Aptos"/>
                <w:sz w:val="14"/>
              </w:rPr>
              <w:t>/services/leadership/virtual-ciso</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Part-Time CISO</w:t>
            </w:r>
          </w:p>
        </w:tc>
        <w:tc>
          <w:tcPr>
            <w:tcW w:type="dxa" w:w="6912"/>
            <w:tcMar>
              <w:top w:w="90" w:type="dxa"/>
              <w:start w:w="100" w:type="dxa"/>
              <w:bottom w:w="90" w:type="dxa"/>
              <w:end w:w="100" w:type="dxa"/>
            </w:tcMar>
            <w:vAlign w:val="top"/>
          </w:tcPr>
          <w:p>
            <w:pPr>
              <w:spacing w:after="30"/>
            </w:pPr>
            <w:r>
              <w:rPr>
                <w:rFonts w:ascii="Aptos" w:hAnsi="Aptos"/>
                <w:sz w:val="14"/>
              </w:rPr>
              <w:t>/services/leadership/part-time-ciso</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Fractional Compliance Officer</w:t>
            </w:r>
          </w:p>
        </w:tc>
        <w:tc>
          <w:tcPr>
            <w:tcW w:type="dxa" w:w="6912"/>
            <w:tcMar>
              <w:top w:w="90" w:type="dxa"/>
              <w:start w:w="100" w:type="dxa"/>
              <w:bottom w:w="90" w:type="dxa"/>
              <w:end w:w="100" w:type="dxa"/>
            </w:tcMar>
            <w:vAlign w:val="top"/>
          </w:tcPr>
          <w:p>
            <w:pPr>
              <w:spacing w:after="30"/>
            </w:pPr>
            <w:r>
              <w:rPr>
                <w:rFonts w:ascii="Aptos" w:hAnsi="Aptos"/>
                <w:sz w:val="14"/>
              </w:rPr>
              <w:t>/services/leadership/fractional-compliance-officer</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Compliance hub</w:t>
            </w:r>
          </w:p>
        </w:tc>
        <w:tc>
          <w:tcPr>
            <w:tcW w:type="dxa" w:w="6912"/>
            <w:tcMar>
              <w:top w:w="90" w:type="dxa"/>
              <w:start w:w="100" w:type="dxa"/>
              <w:bottom w:w="90" w:type="dxa"/>
              <w:end w:w="100" w:type="dxa"/>
            </w:tcMar>
            <w:vAlign w:val="top"/>
          </w:tcPr>
          <w:p>
            <w:pPr>
              <w:spacing w:after="30"/>
            </w:pPr>
            <w:r>
              <w:rPr>
                <w:rFonts w:ascii="Aptos" w:hAnsi="Aptos"/>
                <w:sz w:val="14"/>
              </w:rPr>
              <w:t>/services/compliance</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SOC 2</w:t>
            </w:r>
          </w:p>
        </w:tc>
        <w:tc>
          <w:tcPr>
            <w:tcW w:type="dxa" w:w="6912"/>
            <w:tcMar>
              <w:top w:w="90" w:type="dxa"/>
              <w:start w:w="100" w:type="dxa"/>
              <w:bottom w:w="90" w:type="dxa"/>
              <w:end w:w="100" w:type="dxa"/>
            </w:tcMar>
            <w:vAlign w:val="top"/>
          </w:tcPr>
          <w:p>
            <w:pPr>
              <w:spacing w:after="30"/>
            </w:pPr>
            <w:r>
              <w:rPr>
                <w:rFonts w:ascii="Aptos" w:hAnsi="Aptos"/>
                <w:sz w:val="14"/>
              </w:rPr>
              <w:t>/services/compliance/soc-2</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ISO 27001</w:t>
            </w:r>
          </w:p>
        </w:tc>
        <w:tc>
          <w:tcPr>
            <w:tcW w:type="dxa" w:w="6912"/>
            <w:tcMar>
              <w:top w:w="90" w:type="dxa"/>
              <w:start w:w="100" w:type="dxa"/>
              <w:bottom w:w="90" w:type="dxa"/>
              <w:end w:w="100" w:type="dxa"/>
            </w:tcMar>
            <w:vAlign w:val="top"/>
          </w:tcPr>
          <w:p>
            <w:pPr>
              <w:spacing w:after="30"/>
            </w:pPr>
            <w:r>
              <w:rPr>
                <w:rFonts w:ascii="Aptos" w:hAnsi="Aptos"/>
                <w:sz w:val="14"/>
              </w:rPr>
              <w:t>/services/compliance/iso-27001</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PCI DSS</w:t>
            </w:r>
          </w:p>
        </w:tc>
        <w:tc>
          <w:tcPr>
            <w:tcW w:type="dxa" w:w="6912"/>
            <w:tcMar>
              <w:top w:w="90" w:type="dxa"/>
              <w:start w:w="100" w:type="dxa"/>
              <w:bottom w:w="90" w:type="dxa"/>
              <w:end w:w="100" w:type="dxa"/>
            </w:tcMar>
            <w:vAlign w:val="top"/>
          </w:tcPr>
          <w:p>
            <w:pPr>
              <w:spacing w:after="30"/>
            </w:pPr>
            <w:r>
              <w:rPr>
                <w:rFonts w:ascii="Aptos" w:hAnsi="Aptos"/>
                <w:sz w:val="14"/>
              </w:rPr>
              <w:t>/services/compliance/pci-dss</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HIPAA</w:t>
            </w:r>
          </w:p>
        </w:tc>
        <w:tc>
          <w:tcPr>
            <w:tcW w:type="dxa" w:w="6912"/>
            <w:tcMar>
              <w:top w:w="90" w:type="dxa"/>
              <w:start w:w="100" w:type="dxa"/>
              <w:bottom w:w="90" w:type="dxa"/>
              <w:end w:w="100" w:type="dxa"/>
            </w:tcMar>
            <w:vAlign w:val="top"/>
          </w:tcPr>
          <w:p>
            <w:pPr>
              <w:spacing w:after="30"/>
            </w:pPr>
            <w:r>
              <w:rPr>
                <w:rFonts w:ascii="Aptos" w:hAnsi="Aptos"/>
                <w:sz w:val="14"/>
              </w:rPr>
              <w:t>/services/compliance/hipaa</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HITRUST</w:t>
            </w:r>
          </w:p>
        </w:tc>
        <w:tc>
          <w:tcPr>
            <w:tcW w:type="dxa" w:w="6912"/>
            <w:tcMar>
              <w:top w:w="90" w:type="dxa"/>
              <w:start w:w="100" w:type="dxa"/>
              <w:bottom w:w="90" w:type="dxa"/>
              <w:end w:w="100" w:type="dxa"/>
            </w:tcMar>
            <w:vAlign w:val="top"/>
          </w:tcPr>
          <w:p>
            <w:pPr>
              <w:spacing w:after="30"/>
            </w:pPr>
            <w:r>
              <w:rPr>
                <w:rFonts w:ascii="Aptos" w:hAnsi="Aptos"/>
                <w:sz w:val="14"/>
              </w:rPr>
              <w:t>/services/compliance/hitrust</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CMMC</w:t>
            </w:r>
          </w:p>
        </w:tc>
        <w:tc>
          <w:tcPr>
            <w:tcW w:type="dxa" w:w="6912"/>
            <w:tcMar>
              <w:top w:w="90" w:type="dxa"/>
              <w:start w:w="100" w:type="dxa"/>
              <w:bottom w:w="90" w:type="dxa"/>
              <w:end w:w="100" w:type="dxa"/>
            </w:tcMar>
            <w:vAlign w:val="top"/>
          </w:tcPr>
          <w:p>
            <w:pPr>
              <w:spacing w:after="30"/>
            </w:pPr>
            <w:r>
              <w:rPr>
                <w:rFonts w:ascii="Aptos" w:hAnsi="Aptos"/>
                <w:sz w:val="14"/>
              </w:rPr>
              <w:t>/services/compliance/cmmc</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NIS2</w:t>
            </w:r>
          </w:p>
        </w:tc>
        <w:tc>
          <w:tcPr>
            <w:tcW w:type="dxa" w:w="6912"/>
            <w:tcMar>
              <w:top w:w="90" w:type="dxa"/>
              <w:start w:w="100" w:type="dxa"/>
              <w:bottom w:w="90" w:type="dxa"/>
              <w:end w:w="100" w:type="dxa"/>
            </w:tcMar>
            <w:vAlign w:val="top"/>
          </w:tcPr>
          <w:p>
            <w:pPr>
              <w:spacing w:after="30"/>
            </w:pPr>
            <w:r>
              <w:rPr>
                <w:rFonts w:ascii="Aptos" w:hAnsi="Aptos"/>
                <w:sz w:val="14"/>
              </w:rPr>
              <w:t>/services/compliance/nis2</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Audit &amp; Certification Coordination</w:t>
            </w:r>
          </w:p>
        </w:tc>
        <w:tc>
          <w:tcPr>
            <w:tcW w:type="dxa" w:w="6912"/>
            <w:tcMar>
              <w:top w:w="90" w:type="dxa"/>
              <w:start w:w="100" w:type="dxa"/>
              <w:bottom w:w="90" w:type="dxa"/>
              <w:end w:w="100" w:type="dxa"/>
            </w:tcMar>
            <w:vAlign w:val="top"/>
          </w:tcPr>
          <w:p>
            <w:pPr>
              <w:spacing w:after="30"/>
            </w:pPr>
            <w:r>
              <w:rPr>
                <w:rFonts w:ascii="Aptos" w:hAnsi="Aptos"/>
                <w:sz w:val="14"/>
              </w:rPr>
              <w:t>/services/compliance/audit-certification-coordination</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Risk hub</w:t>
            </w:r>
          </w:p>
        </w:tc>
        <w:tc>
          <w:tcPr>
            <w:tcW w:type="dxa" w:w="6912"/>
            <w:tcMar>
              <w:top w:w="90" w:type="dxa"/>
              <w:start w:w="100" w:type="dxa"/>
              <w:bottom w:w="90" w:type="dxa"/>
              <w:end w:w="100" w:type="dxa"/>
            </w:tcMar>
            <w:vAlign w:val="top"/>
          </w:tcPr>
          <w:p>
            <w:pPr>
              <w:spacing w:after="30"/>
            </w:pPr>
            <w:r>
              <w:rPr>
                <w:rFonts w:ascii="Aptos" w:hAnsi="Aptos"/>
                <w:sz w:val="14"/>
              </w:rPr>
              <w:t>/services/risk</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Third-Party Risk Management</w:t>
            </w:r>
          </w:p>
        </w:tc>
        <w:tc>
          <w:tcPr>
            <w:tcW w:type="dxa" w:w="6912"/>
            <w:tcMar>
              <w:top w:w="90" w:type="dxa"/>
              <w:start w:w="100" w:type="dxa"/>
              <w:bottom w:w="90" w:type="dxa"/>
              <w:end w:w="100" w:type="dxa"/>
            </w:tcMar>
            <w:vAlign w:val="top"/>
          </w:tcPr>
          <w:p>
            <w:pPr>
              <w:spacing w:after="30"/>
            </w:pPr>
            <w:r>
              <w:rPr>
                <w:rFonts w:ascii="Aptos" w:hAnsi="Aptos"/>
                <w:sz w:val="14"/>
              </w:rPr>
              <w:t>/services/risk/third-party-risk-management</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Incident Response Planning</w:t>
            </w:r>
          </w:p>
        </w:tc>
        <w:tc>
          <w:tcPr>
            <w:tcW w:type="dxa" w:w="6912"/>
            <w:tcMar>
              <w:top w:w="90" w:type="dxa"/>
              <w:start w:w="100" w:type="dxa"/>
              <w:bottom w:w="90" w:type="dxa"/>
              <w:end w:w="100" w:type="dxa"/>
            </w:tcMar>
            <w:vAlign w:val="top"/>
          </w:tcPr>
          <w:p>
            <w:pPr>
              <w:spacing w:after="30"/>
            </w:pPr>
            <w:r>
              <w:rPr>
                <w:rFonts w:ascii="Aptos" w:hAnsi="Aptos"/>
                <w:sz w:val="14"/>
              </w:rPr>
              <w:t>/services/risk/incident-response-planning</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Cybersecurity Maturity Assessment</w:t>
            </w:r>
          </w:p>
        </w:tc>
        <w:tc>
          <w:tcPr>
            <w:tcW w:type="dxa" w:w="6912"/>
            <w:tcMar>
              <w:top w:w="90" w:type="dxa"/>
              <w:start w:w="100" w:type="dxa"/>
              <w:bottom w:w="90" w:type="dxa"/>
              <w:end w:w="100" w:type="dxa"/>
            </w:tcMar>
            <w:vAlign w:val="top"/>
          </w:tcPr>
          <w:p>
            <w:pPr>
              <w:spacing w:after="30"/>
            </w:pPr>
            <w:r>
              <w:rPr>
                <w:rFonts w:ascii="Aptos" w:hAnsi="Aptos"/>
                <w:sz w:val="14"/>
              </w:rPr>
              <w:t>/services/risk/cybersecurity-maturity-assessment</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Security for Startups</w:t>
            </w:r>
          </w:p>
        </w:tc>
        <w:tc>
          <w:tcPr>
            <w:tcW w:type="dxa" w:w="6912"/>
            <w:tcMar>
              <w:top w:w="90" w:type="dxa"/>
              <w:start w:w="100" w:type="dxa"/>
              <w:bottom w:w="90" w:type="dxa"/>
              <w:end w:w="100" w:type="dxa"/>
            </w:tcMar>
            <w:vAlign w:val="top"/>
          </w:tcPr>
          <w:p>
            <w:pPr>
              <w:spacing w:after="30"/>
            </w:pPr>
            <w:r>
              <w:rPr>
                <w:rFonts w:ascii="Aptos" w:hAnsi="Aptos"/>
                <w:sz w:val="14"/>
              </w:rPr>
              <w:t>/services/risk/security-for-startups</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Cloud Security Consulting</w:t>
            </w:r>
          </w:p>
        </w:tc>
        <w:tc>
          <w:tcPr>
            <w:tcW w:type="dxa" w:w="6912"/>
            <w:tcMar>
              <w:top w:w="90" w:type="dxa"/>
              <w:start w:w="100" w:type="dxa"/>
              <w:bottom w:w="90" w:type="dxa"/>
              <w:end w:w="100" w:type="dxa"/>
            </w:tcMar>
            <w:vAlign w:val="top"/>
          </w:tcPr>
          <w:p>
            <w:pPr>
              <w:spacing w:after="30"/>
            </w:pPr>
            <w:r>
              <w:rPr>
                <w:rFonts w:ascii="Aptos" w:hAnsi="Aptos"/>
                <w:sz w:val="14"/>
              </w:rPr>
              <w:t>/services/risk/cloud-security-consulting</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AI Governance hub</w:t>
            </w:r>
          </w:p>
        </w:tc>
        <w:tc>
          <w:tcPr>
            <w:tcW w:type="dxa" w:w="6912"/>
            <w:tcMar>
              <w:top w:w="90" w:type="dxa"/>
              <w:start w:w="100" w:type="dxa"/>
              <w:bottom w:w="90" w:type="dxa"/>
              <w:end w:w="100" w:type="dxa"/>
            </w:tcMar>
            <w:vAlign w:val="top"/>
          </w:tcPr>
          <w:p>
            <w:pPr>
              <w:spacing w:after="30"/>
            </w:pPr>
            <w:r>
              <w:rPr>
                <w:rFonts w:ascii="Aptos" w:hAnsi="Aptos"/>
                <w:sz w:val="14"/>
              </w:rPr>
              <w:t>/services/ai-governance</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ISO 42001</w:t>
            </w:r>
          </w:p>
        </w:tc>
        <w:tc>
          <w:tcPr>
            <w:tcW w:type="dxa" w:w="6912"/>
            <w:tcMar>
              <w:top w:w="90" w:type="dxa"/>
              <w:start w:w="100" w:type="dxa"/>
              <w:bottom w:w="90" w:type="dxa"/>
              <w:end w:w="100" w:type="dxa"/>
            </w:tcMar>
            <w:vAlign w:val="top"/>
          </w:tcPr>
          <w:p>
            <w:pPr>
              <w:spacing w:after="30"/>
            </w:pPr>
            <w:r>
              <w:rPr>
                <w:rFonts w:ascii="Aptos" w:hAnsi="Aptos"/>
                <w:sz w:val="14"/>
              </w:rPr>
              <w:t>/services/ai-governance/iso-42001</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EU AI Act</w:t>
            </w:r>
          </w:p>
        </w:tc>
        <w:tc>
          <w:tcPr>
            <w:tcW w:type="dxa" w:w="6912"/>
            <w:tcMar>
              <w:top w:w="90" w:type="dxa"/>
              <w:start w:w="100" w:type="dxa"/>
              <w:bottom w:w="90" w:type="dxa"/>
              <w:end w:w="100" w:type="dxa"/>
            </w:tcMar>
            <w:vAlign w:val="top"/>
          </w:tcPr>
          <w:p>
            <w:pPr>
              <w:spacing w:after="30"/>
            </w:pPr>
            <w:r>
              <w:rPr>
                <w:rFonts w:ascii="Aptos" w:hAnsi="Aptos"/>
                <w:sz w:val="14"/>
              </w:rPr>
              <w:t>/services/ai-governance/eu-ai-act</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NIST AI RMF</w:t>
            </w:r>
          </w:p>
        </w:tc>
        <w:tc>
          <w:tcPr>
            <w:tcW w:type="dxa" w:w="6912"/>
            <w:tcMar>
              <w:top w:w="90" w:type="dxa"/>
              <w:start w:w="100" w:type="dxa"/>
              <w:bottom w:w="90" w:type="dxa"/>
              <w:end w:w="100" w:type="dxa"/>
            </w:tcMar>
            <w:vAlign w:val="top"/>
          </w:tcPr>
          <w:p>
            <w:pPr>
              <w:spacing w:after="30"/>
            </w:pPr>
            <w:r>
              <w:rPr>
                <w:rFonts w:ascii="Aptos" w:hAnsi="Aptos"/>
                <w:sz w:val="14"/>
              </w:rPr>
              <w:t>/services/ai-governance/nist-ai-rmf</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Intelligence</w:t>
            </w:r>
          </w:p>
        </w:tc>
        <w:tc>
          <w:tcPr>
            <w:tcW w:type="dxa" w:w="6912"/>
            <w:tcMar>
              <w:top w:w="90" w:type="dxa"/>
              <w:start w:w="100" w:type="dxa"/>
              <w:bottom w:w="90" w:type="dxa"/>
              <w:end w:w="100" w:type="dxa"/>
            </w:tcMar>
            <w:vAlign w:val="top"/>
          </w:tcPr>
          <w:p>
            <w:pPr>
              <w:spacing w:after="30"/>
            </w:pPr>
            <w:r>
              <w:rPr>
                <w:rFonts w:ascii="Aptos" w:hAnsi="Aptos"/>
                <w:sz w:val="14"/>
              </w:rPr>
              <w:t>/intelligence</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Insights</w:t>
            </w:r>
          </w:p>
        </w:tc>
        <w:tc>
          <w:tcPr>
            <w:tcW w:type="dxa" w:w="6912"/>
            <w:tcMar>
              <w:top w:w="90" w:type="dxa"/>
              <w:start w:w="100" w:type="dxa"/>
              <w:bottom w:w="90" w:type="dxa"/>
              <w:end w:w="100" w:type="dxa"/>
            </w:tcMar>
            <w:vAlign w:val="top"/>
          </w:tcPr>
          <w:p>
            <w:pPr>
              <w:spacing w:after="30"/>
            </w:pPr>
            <w:r>
              <w:rPr>
                <w:rFonts w:ascii="Aptos" w:hAnsi="Aptos"/>
                <w:sz w:val="14"/>
              </w:rPr>
              <w:t>/intelligence/insights</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Regulatory &amp; Standards Radar</w:t>
            </w:r>
          </w:p>
        </w:tc>
        <w:tc>
          <w:tcPr>
            <w:tcW w:type="dxa" w:w="6912"/>
            <w:tcMar>
              <w:top w:w="90" w:type="dxa"/>
              <w:start w:w="100" w:type="dxa"/>
              <w:bottom w:w="90" w:type="dxa"/>
              <w:end w:w="100" w:type="dxa"/>
            </w:tcMar>
            <w:vAlign w:val="top"/>
          </w:tcPr>
          <w:p>
            <w:pPr>
              <w:spacing w:after="30"/>
            </w:pPr>
            <w:r>
              <w:rPr>
                <w:rFonts w:ascii="Aptos" w:hAnsi="Aptos"/>
                <w:sz w:val="14"/>
              </w:rPr>
              <w:t>/intelligence/regulatory-radar</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About</w:t>
            </w:r>
          </w:p>
        </w:tc>
        <w:tc>
          <w:tcPr>
            <w:tcW w:type="dxa" w:w="6912"/>
            <w:tcMar>
              <w:top w:w="90" w:type="dxa"/>
              <w:start w:w="100" w:type="dxa"/>
              <w:bottom w:w="90" w:type="dxa"/>
              <w:end w:w="100" w:type="dxa"/>
            </w:tcMar>
            <w:vAlign w:val="top"/>
          </w:tcPr>
          <w:p>
            <w:pPr>
              <w:spacing w:after="30"/>
            </w:pPr>
            <w:r>
              <w:rPr>
                <w:rFonts w:ascii="Aptos" w:hAnsi="Aptos"/>
                <w:sz w:val="14"/>
              </w:rPr>
              <w:t>/about</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Contact</w:t>
            </w:r>
          </w:p>
        </w:tc>
        <w:tc>
          <w:tcPr>
            <w:tcW w:type="dxa" w:w="6912"/>
            <w:tcMar>
              <w:top w:w="90" w:type="dxa"/>
              <w:start w:w="100" w:type="dxa"/>
              <w:bottom w:w="90" w:type="dxa"/>
              <w:end w:w="100" w:type="dxa"/>
            </w:tcMar>
            <w:vAlign w:val="top"/>
          </w:tcPr>
          <w:p>
            <w:pPr>
              <w:spacing w:after="30"/>
            </w:pPr>
            <w:r>
              <w:rPr>
                <w:rFonts w:ascii="Aptos" w:hAnsi="Aptos"/>
                <w:sz w:val="14"/>
              </w:rPr>
              <w:t>/contact</w:t>
            </w:r>
          </w:p>
        </w:tc>
      </w:tr>
      <w:tr>
        <w:trPr>
          <w:cantSplit/>
        </w:trPr>
        <w:tc>
          <w:tcPr>
            <w:tcW w:type="dxa" w:w="3600"/>
            <w:tcMar>
              <w:top w:w="90" w:type="dxa"/>
              <w:start w:w="100" w:type="dxa"/>
              <w:bottom w:w="90" w:type="dxa"/>
              <w:end w:w="100" w:type="dxa"/>
            </w:tcMar>
            <w:vAlign w:val="top"/>
          </w:tcPr>
          <w:p>
            <w:pPr>
              <w:spacing w:after="30"/>
            </w:pPr>
            <w:r>
              <w:rPr>
                <w:rFonts w:ascii="Aptos" w:hAnsi="Aptos"/>
                <w:sz w:val="14"/>
              </w:rPr>
              <w:t>Pricing</w:t>
            </w:r>
          </w:p>
        </w:tc>
        <w:tc>
          <w:tcPr>
            <w:tcW w:type="dxa" w:w="6912"/>
            <w:tcMar>
              <w:top w:w="90" w:type="dxa"/>
              <w:start w:w="100" w:type="dxa"/>
              <w:bottom w:w="90" w:type="dxa"/>
              <w:end w:w="100" w:type="dxa"/>
            </w:tcMar>
            <w:vAlign w:val="top"/>
          </w:tcPr>
          <w:p>
            <w:pPr>
              <w:spacing w:after="30"/>
            </w:pPr>
            <w:r>
              <w:rPr>
                <w:rFonts w:ascii="Aptos" w:hAnsi="Aptos"/>
                <w:sz w:val="14"/>
              </w:rPr>
              <w:t>/pricing</w:t>
            </w:r>
          </w:p>
        </w:tc>
      </w:tr>
    </w:tbl>
    <w:p>
      <w:pPr>
        <w:pStyle w:val="Heading1"/>
      </w:pPr>
      <w:r>
        <w:t>4. Homepage - Developer Copy</w:t>
      </w:r>
    </w:p>
    <w:p>
      <w:pPr>
        <w:pStyle w:val="Heading3"/>
      </w:pPr>
      <w:r>
        <w:t>SEO title</w:t>
      </w:r>
    </w:p>
    <w:p>
      <w:r>
        <w:t>Cyvelle Consulting | Governance, Risk, Compliance &amp; AI Governance Advisory</w:t>
      </w:r>
    </w:p>
    <w:p>
      <w:pPr>
        <w:pStyle w:val="Heading2"/>
      </w:pPr>
      <w:r>
        <w:t>Hero</w:t>
      </w:r>
    </w:p>
    <w:p>
      <w:pPr>
        <w:pStyle w:val="Heading1"/>
      </w:pPr>
      <w:r>
        <w:t>Governance, risk, compliance, and AI oversight - led by one accountable practitioner.</w:t>
      </w:r>
    </w:p>
    <w:p>
      <w:r>
        <w:t>Cyvelle Consulting helps growth-stage and mid-market organizations meet enterprise and regulatory expectations across cybersecurity, compliance, enterprise risk, and AI governance. Every engagement is led directly by Temi Oyawoye, a practitioner with more than 20 years of experience building compliance programs and leading audits across multiple industries.</w:t>
      </w:r>
    </w:p>
    <w:p>
      <w:pPr>
        <w:pStyle w:val="DeveloperNote"/>
      </w:pPr>
      <w:r>
        <w:t>Primary CTA: Book a 30-Minute Consultation</w:t>
      </w:r>
    </w:p>
    <w:p>
      <w:pPr>
        <w:pStyle w:val="DeveloperNote"/>
      </w:pPr>
      <w:r>
        <w:t>Secondary CTA: Explore the Governance Blueprint</w:t>
      </w:r>
    </w:p>
    <w:p>
      <w:pPr>
        <w:pStyle w:val="Heading2"/>
      </w:pPr>
      <w:r>
        <w:t>What brings organizations to Cyvelle</w:t>
      </w:r>
    </w:p>
    <w:p>
      <w:pPr>
        <w:pStyle w:val="ListBullet"/>
        <w:ind w:left="288" w:hanging="173"/>
      </w:pPr>
      <w:r>
        <w:t>An enterprise security review or questionnaire is slowing a commercial opportunity.</w:t>
      </w:r>
    </w:p>
    <w:p>
      <w:pPr>
        <w:pStyle w:val="ListBullet"/>
        <w:ind w:left="288" w:hanging="173"/>
      </w:pPr>
      <w:r>
        <w:t>A major contract requires a specific framework, but scope, evidence, ownership, and the implementation path are unclear.</w:t>
      </w:r>
    </w:p>
    <w:p>
      <w:pPr>
        <w:pStyle w:val="ListBullet"/>
        <w:ind w:left="288" w:hanging="173"/>
      </w:pPr>
      <w:r>
        <w:t>AI use has expanded across the business before leadership established an inventory, risk process, or decision rights.</w:t>
      </w:r>
    </w:p>
    <w:p>
      <w:pPr>
        <w:pStyle w:val="ListBullet"/>
        <w:ind w:left="288" w:hanging="173"/>
      </w:pPr>
      <w:r>
        <w:t>Security, compliance, privacy, and risk activities exist, but no one has a shared view of what matters most.</w:t>
      </w:r>
    </w:p>
    <w:p>
      <w:pPr>
        <w:pStyle w:val="Heading2"/>
      </w:pPr>
      <w:r>
        <w:t>Practice areas</w:t>
      </w:r>
    </w:p>
    <w:tbl>
      <w:tblPr>
        <w:tblStyle w:val="TableGrid"/>
        <w:tblW w:type="auto" w:w="0"/>
        <w:jc w:val="center"/>
        <w:tblLook w:firstColumn="1" w:firstRow="1" w:lastColumn="0" w:lastRow="0" w:noHBand="0" w:noVBand="1" w:val="04A0"/>
      </w:tblPr>
      <w:tblGrid>
        <w:gridCol w:w="5083"/>
        <w:gridCol w:w="5083"/>
      </w:tblGrid>
      <w:tr>
        <w:trPr>
          <w:cantSplit/>
        </w:trPr>
        <w:tc>
          <w:tcPr>
            <w:tcW w:type="dxa" w:w="3600"/>
            <w:tcMar>
              <w:top w:w="90" w:type="dxa"/>
              <w:start w:w="100" w:type="dxa"/>
              <w:bottom w:w="90" w:type="dxa"/>
              <w:end w:w="100" w:type="dxa"/>
            </w:tcMar>
            <w:vAlign w:val="top"/>
            <w:shd w:fill="D9EAF7"/>
          </w:tcPr>
          <w:p>
            <w:pPr>
              <w:spacing w:after="30"/>
            </w:pPr>
            <w:r>
              <w:rPr>
                <w:rFonts w:ascii="Aptos" w:hAnsi="Aptos"/>
                <w:b/>
                <w:sz w:val="16"/>
              </w:rPr>
              <w:t>Practice area</w:t>
            </w:r>
          </w:p>
        </w:tc>
        <w:tc>
          <w:tcPr>
            <w:tcW w:type="dxa" w:w="6912"/>
            <w:tcMar>
              <w:top w:w="90" w:type="dxa"/>
              <w:start w:w="100" w:type="dxa"/>
              <w:bottom w:w="90" w:type="dxa"/>
              <w:end w:w="100" w:type="dxa"/>
            </w:tcMar>
            <w:vAlign w:val="top"/>
            <w:shd w:fill="D9EAF7"/>
          </w:tcPr>
          <w:p>
            <w:pPr>
              <w:spacing w:after="30"/>
            </w:pPr>
            <w:r>
              <w:rPr>
                <w:rFonts w:ascii="Aptos" w:hAnsi="Aptos"/>
                <w:b/>
                <w:sz w:val="16"/>
              </w:rPr>
              <w:t>Homepage card copy</w:t>
            </w:r>
          </w:p>
        </w:tc>
      </w:tr>
      <w:tr>
        <w:trPr>
          <w:cantSplit/>
        </w:trPr>
        <w:tc>
          <w:tcPr>
            <w:tcW w:type="dxa" w:w="3600"/>
            <w:tcMar>
              <w:top w:w="90" w:type="dxa"/>
              <w:start w:w="100" w:type="dxa"/>
              <w:bottom w:w="90" w:type="dxa"/>
              <w:end w:w="100" w:type="dxa"/>
            </w:tcMar>
            <w:vAlign w:val="top"/>
          </w:tcPr>
          <w:p>
            <w:pPr>
              <w:spacing w:after="30"/>
            </w:pPr>
            <w:r>
              <w:rPr>
                <w:rFonts w:ascii="Aptos" w:hAnsi="Aptos"/>
                <w:sz w:val="16"/>
              </w:rPr>
              <w:t>Executive Security &amp; Compliance Leadership</w:t>
            </w:r>
          </w:p>
        </w:tc>
        <w:tc>
          <w:tcPr>
            <w:tcW w:type="dxa" w:w="6912"/>
            <w:tcMar>
              <w:top w:w="90" w:type="dxa"/>
              <w:start w:w="100" w:type="dxa"/>
              <w:bottom w:w="90" w:type="dxa"/>
              <w:end w:w="100" w:type="dxa"/>
            </w:tcMar>
            <w:vAlign w:val="top"/>
          </w:tcPr>
          <w:p>
            <w:pPr>
              <w:spacing w:after="30"/>
            </w:pPr>
            <w:r>
              <w:rPr>
                <w:rFonts w:ascii="Aptos" w:hAnsi="Aptos"/>
                <w:sz w:val="16"/>
              </w:rPr>
              <w:t>Senior leadership for organizations that need security or compliance ownership without immediately hiring a full-time executive.</w:t>
            </w:r>
          </w:p>
        </w:tc>
      </w:tr>
      <w:tr>
        <w:trPr>
          <w:cantSplit/>
        </w:trPr>
        <w:tc>
          <w:tcPr>
            <w:tcW w:type="dxa" w:w="3600"/>
            <w:tcMar>
              <w:top w:w="90" w:type="dxa"/>
              <w:start w:w="100" w:type="dxa"/>
              <w:bottom w:w="90" w:type="dxa"/>
              <w:end w:w="100" w:type="dxa"/>
            </w:tcMar>
            <w:vAlign w:val="top"/>
          </w:tcPr>
          <w:p>
            <w:pPr>
              <w:spacing w:after="30"/>
            </w:pPr>
            <w:r>
              <w:rPr>
                <w:rFonts w:ascii="Aptos" w:hAnsi="Aptos"/>
                <w:sz w:val="16"/>
              </w:rPr>
              <w:t>Compliance &amp; Certification Readiness</w:t>
            </w:r>
          </w:p>
        </w:tc>
        <w:tc>
          <w:tcPr>
            <w:tcW w:type="dxa" w:w="6912"/>
            <w:tcMar>
              <w:top w:w="90" w:type="dxa"/>
              <w:start w:w="100" w:type="dxa"/>
              <w:bottom w:w="90" w:type="dxa"/>
              <w:end w:w="100" w:type="dxa"/>
            </w:tcMar>
            <w:vAlign w:val="top"/>
          </w:tcPr>
          <w:p>
            <w:pPr>
              <w:spacing w:after="30"/>
            </w:pPr>
            <w:r>
              <w:rPr>
                <w:rFonts w:ascii="Aptos" w:hAnsi="Aptos"/>
                <w:sz w:val="16"/>
              </w:rPr>
              <w:t>Readiness, implementation support, evidence preparation, and coordination for SOC 2, ISO 27001, PCI DSS, HIPAA, HITRUST, CMMC, NIS2, and related requirements.</w:t>
            </w:r>
          </w:p>
        </w:tc>
      </w:tr>
      <w:tr>
        <w:trPr>
          <w:cantSplit/>
        </w:trPr>
        <w:tc>
          <w:tcPr>
            <w:tcW w:type="dxa" w:w="3600"/>
            <w:tcMar>
              <w:top w:w="90" w:type="dxa"/>
              <w:start w:w="100" w:type="dxa"/>
              <w:bottom w:w="90" w:type="dxa"/>
              <w:end w:w="100" w:type="dxa"/>
            </w:tcMar>
            <w:vAlign w:val="top"/>
          </w:tcPr>
          <w:p>
            <w:pPr>
              <w:spacing w:after="30"/>
            </w:pPr>
            <w:r>
              <w:rPr>
                <w:rFonts w:ascii="Aptos" w:hAnsi="Aptos"/>
                <w:sz w:val="16"/>
              </w:rPr>
              <w:t>Cyber Risk &amp; Resilience</w:t>
            </w:r>
          </w:p>
        </w:tc>
        <w:tc>
          <w:tcPr>
            <w:tcW w:type="dxa" w:w="6912"/>
            <w:tcMar>
              <w:top w:w="90" w:type="dxa"/>
              <w:start w:w="100" w:type="dxa"/>
              <w:bottom w:w="90" w:type="dxa"/>
              <w:end w:w="100" w:type="dxa"/>
            </w:tcMar>
            <w:vAlign w:val="top"/>
          </w:tcPr>
          <w:p>
            <w:pPr>
              <w:spacing w:after="30"/>
            </w:pPr>
            <w:r>
              <w:rPr>
                <w:rFonts w:ascii="Aptos" w:hAnsi="Aptos"/>
                <w:sz w:val="16"/>
              </w:rPr>
              <w:t>Third-party risk, incident-response planning, cybersecurity maturity assessment, startup security, and cloud-security consulting.</w:t>
            </w:r>
          </w:p>
        </w:tc>
      </w:tr>
      <w:tr>
        <w:trPr>
          <w:cantSplit/>
        </w:trPr>
        <w:tc>
          <w:tcPr>
            <w:tcW w:type="dxa" w:w="3600"/>
            <w:tcMar>
              <w:top w:w="90" w:type="dxa"/>
              <w:start w:w="100" w:type="dxa"/>
              <w:bottom w:w="90" w:type="dxa"/>
              <w:end w:w="100" w:type="dxa"/>
            </w:tcMar>
            <w:vAlign w:val="top"/>
          </w:tcPr>
          <w:p>
            <w:pPr>
              <w:spacing w:after="30"/>
            </w:pPr>
            <w:r>
              <w:rPr>
                <w:rFonts w:ascii="Aptos" w:hAnsi="Aptos"/>
                <w:sz w:val="16"/>
              </w:rPr>
              <w:t>AI Governance &amp; Responsible AI</w:t>
            </w:r>
          </w:p>
        </w:tc>
        <w:tc>
          <w:tcPr>
            <w:tcW w:type="dxa" w:w="6912"/>
            <w:tcMar>
              <w:top w:w="90" w:type="dxa"/>
              <w:start w:w="100" w:type="dxa"/>
              <w:bottom w:w="90" w:type="dxa"/>
              <w:end w:w="100" w:type="dxa"/>
            </w:tcMar>
            <w:vAlign w:val="top"/>
          </w:tcPr>
          <w:p>
            <w:pPr>
              <w:spacing w:after="30"/>
            </w:pPr>
            <w:r>
              <w:rPr>
                <w:rFonts w:ascii="Aptos" w:hAnsi="Aptos"/>
                <w:sz w:val="16"/>
              </w:rPr>
              <w:t>ISO 42001 readiness, EU AI Act readiness, and NIST AI RMF alignment connected to security, risk, compliance, and business accountability.</w:t>
            </w:r>
          </w:p>
        </w:tc>
      </w:tr>
    </w:tbl>
    <w:p>
      <w:pPr>
        <w:pStyle w:val="Heading2"/>
      </w:pPr>
      <w:r>
        <w:t>Featured offer: The Governance Blueprint</w:t>
      </w:r>
    </w:p>
    <w:p>
      <w:r>
        <w:t>The Governance Blueprint is Cyvelle's integrated diagnostic across cybersecurity, compliance, enterprise risk, and AI governance. It connects commitments, systems, AI uses, vendors, risks, controls, owners, evidence, and executive decisions in one current-state view and prioritized action plan.</w:t>
      </w:r>
    </w:p>
    <w:p>
      <w:pPr>
        <w:pStyle w:val="DeveloperNote"/>
      </w:pPr>
      <w:r>
        <w:t>CTA: See the Governance Blueprint</w:t>
      </w:r>
    </w:p>
    <w:p>
      <w:pPr>
        <w:pStyle w:val="Heading2"/>
      </w:pPr>
      <w:r>
        <w:t>Transparent pricing preview</w:t>
      </w:r>
    </w:p>
    <w:p>
      <w:r>
        <w:t>Every Cyvelle service page shows a standard pricing path so buyers can calibrate budget before a consultation. Final scope reflects the number of entities, systems, frameworks, evidence maturity, and delivery complexity.</w:t>
      </w:r>
    </w:p>
    <w:p>
      <w:pPr>
        <w:pStyle w:val="DeveloperNote"/>
      </w:pPr>
      <w:r>
        <w:t>CTA: View pricing</w:t>
      </w:r>
    </w:p>
    <w:p>
      <w:pPr>
        <w:pStyle w:val="Heading2"/>
      </w:pPr>
      <w:r>
        <w:t>Why Cyvelle</w:t>
      </w:r>
    </w:p>
    <w:p>
      <w:pPr>
        <w:pStyle w:val="ListBullet"/>
        <w:ind w:left="288" w:hanging="173"/>
      </w:pPr>
      <w:r>
        <w:t>Founder-led: The person you meet in the first conversation remains responsible for the engagement.</w:t>
      </w:r>
    </w:p>
    <w:p>
      <w:pPr>
        <w:pStyle w:val="ListBullet"/>
        <w:ind w:left="288" w:hanging="173"/>
      </w:pPr>
      <w:r>
        <w:t>Operating experience: More than 20 years building compliance programs and leading audits across financial services, media and entertainment, healthcare, and technology.</w:t>
      </w:r>
    </w:p>
    <w:p>
      <w:pPr>
        <w:pStyle w:val="ListBullet"/>
        <w:ind w:left="288" w:hanging="173"/>
      </w:pPr>
      <w:r>
        <w:t>Reuse before rebuild: Existing controls, policies, evidence, and systems are mapped before new work is proposed.</w:t>
      </w:r>
    </w:p>
    <w:p>
      <w:pPr>
        <w:pStyle w:val="ListBullet"/>
        <w:ind w:left="288" w:hanging="173"/>
      </w:pPr>
      <w:r>
        <w:t>Decision-ready reporting: Leadership receives priorities, owners, dependencies, evidence expectations, and decisions to make, not only a gap list.</w:t>
      </w:r>
    </w:p>
    <w:p>
      <w:pPr>
        <w:pStyle w:val="Heading2"/>
      </w:pPr>
      <w:r>
        <w:t>Homepage founder module</w:t>
      </w:r>
    </w:p>
    <w:p>
      <w:pPr>
        <w:pStyle w:val="Heading3"/>
      </w:pPr>
      <w:r>
        <w:t>Led by Temi Oyawoye</w:t>
      </w:r>
    </w:p>
    <w:p>
      <w:r>
        <w:t>Temi has spent more than two decades building compliance programs and leading audits across financial services, media and entertainment, healthcare, and technology. That experience combines the perspective of someone who has been audited, led audit work, built programs from the ground up, and connected regulatory requirements to operating reality.</w:t>
      </w:r>
    </w:p>
    <w:p>
      <w:r>
        <w:t>Every Cyvelle engagement is led personally by Temi from the first conversation through final delivery.</w:t>
      </w:r>
    </w:p>
    <w:p>
      <w:r>
        <w:t>CISA | CISM | CRISC | CDPSE | PCI-QSA | MSIS</w:t>
      </w:r>
    </w:p>
    <w:p>
      <w:r>
        <w:t xml:space="preserve">Links: About Temi | </w:t>
      </w:r>
      <w:hyperlink r:id="rId11">
        <w:r>
          <w:rPr>
            <w:color w:val="2563EB"/>
            <w:u w:val="single"/>
          </w:rPr>
          <w:t>Connect on LinkedIn</w:t>
        </w:r>
      </w:hyperlink>
    </w:p>
    <w:p>
      <w:pPr>
        <w:pStyle w:val="Heading1"/>
      </w:pPr>
      <w:r>
        <w:t>5. Services Hub and Category Hubs</w:t>
      </w:r>
    </w:p>
    <w:p>
      <w:pPr>
        <w:pStyle w:val="Heading2"/>
      </w:pPr>
      <w:r>
        <w:t>Services hub</w:t>
      </w:r>
    </w:p>
    <w:p>
      <w:r>
        <w:t>H1: Governance support matched to the pressure in front of you.</w:t>
      </w:r>
    </w:p>
    <w:p>
      <w:r>
        <w:t>Start with the service tied to the immediate business trigger, or begin with The Governance Blueprint when several frameworks, risks, teams, and deadlines overlap. Each service page shows what Cyvelle delivers, how the engagement runs, and the approved public pricing path.</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160"/>
            <w:tcMar>
              <w:top w:w="90" w:type="dxa"/>
              <w:start w:w="100" w:type="dxa"/>
              <w:bottom w:w="90" w:type="dxa"/>
              <w:end w:w="100" w:type="dxa"/>
            </w:tcMar>
            <w:vAlign w:val="top"/>
            <w:shd w:fill="D9EAF7"/>
          </w:tcPr>
          <w:p>
            <w:pPr>
              <w:spacing w:after="30"/>
            </w:pPr>
            <w:r>
              <w:rPr>
                <w:rFonts w:ascii="Aptos" w:hAnsi="Aptos"/>
                <w:b/>
                <w:sz w:val="15"/>
              </w:rPr>
              <w:t>Hub</w:t>
            </w:r>
          </w:p>
        </w:tc>
        <w:tc>
          <w:tcPr>
            <w:tcW w:type="dxa" w:w="3744"/>
            <w:tcMar>
              <w:top w:w="90" w:type="dxa"/>
              <w:start w:w="100" w:type="dxa"/>
              <w:bottom w:w="90" w:type="dxa"/>
              <w:end w:w="100" w:type="dxa"/>
            </w:tcMar>
            <w:vAlign w:val="top"/>
            <w:shd w:fill="D9EAF7"/>
          </w:tcPr>
          <w:p>
            <w:pPr>
              <w:spacing w:after="30"/>
            </w:pPr>
            <w:r>
              <w:rPr>
                <w:rFonts w:ascii="Aptos" w:hAnsi="Aptos"/>
                <w:b/>
                <w:sz w:val="15"/>
              </w:rPr>
              <w:t>H1</w:t>
            </w:r>
          </w:p>
        </w:tc>
        <w:tc>
          <w:tcPr>
            <w:tcW w:type="dxa" w:w="4608"/>
            <w:tcMar>
              <w:top w:w="90" w:type="dxa"/>
              <w:start w:w="100" w:type="dxa"/>
              <w:bottom w:w="90" w:type="dxa"/>
              <w:end w:w="100" w:type="dxa"/>
            </w:tcMar>
            <w:vAlign w:val="top"/>
            <w:shd w:fill="D9EAF7"/>
          </w:tcPr>
          <w:p>
            <w:pPr>
              <w:spacing w:after="30"/>
            </w:pPr>
            <w:r>
              <w:rPr>
                <w:rFonts w:ascii="Aptos" w:hAnsi="Aptos"/>
                <w:b/>
                <w:sz w:val="15"/>
              </w:rPr>
              <w:t>Developer direction</w:t>
            </w:r>
          </w:p>
        </w:tc>
      </w:tr>
      <w:tr>
        <w:trPr>
          <w:cantSplit/>
        </w:trPr>
        <w:tc>
          <w:tcPr>
            <w:tcW w:type="dxa" w:w="2160"/>
            <w:tcMar>
              <w:top w:w="90" w:type="dxa"/>
              <w:start w:w="100" w:type="dxa"/>
              <w:bottom w:w="90" w:type="dxa"/>
              <w:end w:w="100" w:type="dxa"/>
            </w:tcMar>
            <w:vAlign w:val="top"/>
          </w:tcPr>
          <w:p>
            <w:pPr>
              <w:spacing w:after="30"/>
            </w:pPr>
            <w:r>
              <w:rPr>
                <w:rFonts w:ascii="Aptos" w:hAnsi="Aptos"/>
                <w:sz w:val="15"/>
              </w:rPr>
              <w:t>Executive Leadership</w:t>
            </w:r>
          </w:p>
        </w:tc>
        <w:tc>
          <w:tcPr>
            <w:tcW w:type="dxa" w:w="3744"/>
            <w:tcMar>
              <w:top w:w="90" w:type="dxa"/>
              <w:start w:w="100" w:type="dxa"/>
              <w:bottom w:w="90" w:type="dxa"/>
              <w:end w:w="100" w:type="dxa"/>
            </w:tcMar>
            <w:vAlign w:val="top"/>
          </w:tcPr>
          <w:p>
            <w:pPr>
              <w:spacing w:after="30"/>
            </w:pPr>
            <w:r>
              <w:rPr>
                <w:rFonts w:ascii="Aptos" w:hAnsi="Aptos"/>
                <w:sz w:val="15"/>
              </w:rPr>
              <w:t>Senior security and compliance judgment, without a full-time executive hire.</w:t>
            </w:r>
          </w:p>
        </w:tc>
        <w:tc>
          <w:tcPr>
            <w:tcW w:type="dxa" w:w="4608"/>
            <w:tcMar>
              <w:top w:w="90" w:type="dxa"/>
              <w:start w:w="100" w:type="dxa"/>
              <w:bottom w:w="90" w:type="dxa"/>
              <w:end w:w="100" w:type="dxa"/>
            </w:tcMar>
            <w:vAlign w:val="top"/>
          </w:tcPr>
          <w:p>
            <w:pPr>
              <w:spacing w:after="30"/>
            </w:pPr>
            <w:r>
              <w:rPr>
                <w:rFonts w:ascii="Aptos" w:hAnsi="Aptos"/>
                <w:sz w:val="15"/>
              </w:rPr>
              <w:t>Explain the difference among Virtual CISO, Part-Time CISO, and Fractional Compliance Officer using the decision table below.</w:t>
            </w:r>
          </w:p>
        </w:tc>
      </w:tr>
      <w:tr>
        <w:trPr>
          <w:cantSplit/>
        </w:trPr>
        <w:tc>
          <w:tcPr>
            <w:tcW w:type="dxa" w:w="2160"/>
            <w:tcMar>
              <w:top w:w="90" w:type="dxa"/>
              <w:start w:w="100" w:type="dxa"/>
              <w:bottom w:w="90" w:type="dxa"/>
              <w:end w:w="100" w:type="dxa"/>
            </w:tcMar>
            <w:vAlign w:val="top"/>
          </w:tcPr>
          <w:p>
            <w:pPr>
              <w:spacing w:after="30"/>
            </w:pPr>
            <w:r>
              <w:rPr>
                <w:rFonts w:ascii="Aptos" w:hAnsi="Aptos"/>
                <w:sz w:val="15"/>
              </w:rPr>
              <w:t>Compliance &amp; Certification Readiness</w:t>
            </w:r>
          </w:p>
        </w:tc>
        <w:tc>
          <w:tcPr>
            <w:tcW w:type="dxa" w:w="3744"/>
            <w:tcMar>
              <w:top w:w="90" w:type="dxa"/>
              <w:start w:w="100" w:type="dxa"/>
              <w:bottom w:w="90" w:type="dxa"/>
              <w:end w:w="100" w:type="dxa"/>
            </w:tcMar>
            <w:vAlign w:val="top"/>
          </w:tcPr>
          <w:p>
            <w:pPr>
              <w:spacing w:after="30"/>
            </w:pPr>
            <w:r>
              <w:rPr>
                <w:rFonts w:ascii="Aptos" w:hAnsi="Aptos"/>
                <w:sz w:val="15"/>
              </w:rPr>
              <w:t>Preparation for the framework your next contract actually requires.</w:t>
            </w:r>
          </w:p>
        </w:tc>
        <w:tc>
          <w:tcPr>
            <w:tcW w:type="dxa" w:w="4608"/>
            <w:tcMar>
              <w:top w:w="90" w:type="dxa"/>
              <w:start w:w="100" w:type="dxa"/>
              <w:bottom w:w="90" w:type="dxa"/>
              <w:end w:w="100" w:type="dxa"/>
            </w:tcMar>
            <w:vAlign w:val="top"/>
          </w:tcPr>
          <w:p>
            <w:pPr>
              <w:spacing w:after="30"/>
            </w:pPr>
            <w:r>
              <w:rPr>
                <w:rFonts w:ascii="Aptos" w:hAnsi="Aptos"/>
                <w:sz w:val="15"/>
              </w:rPr>
              <w:t>Present pages as readiness and implementation support. Keep independent auditors, certification bodies, C3PAOs, QSA validators, and legal counsel distinct.</w:t>
            </w:r>
          </w:p>
        </w:tc>
      </w:tr>
      <w:tr>
        <w:trPr>
          <w:cantSplit/>
        </w:trPr>
        <w:tc>
          <w:tcPr>
            <w:tcW w:type="dxa" w:w="2160"/>
            <w:tcMar>
              <w:top w:w="90" w:type="dxa"/>
              <w:start w:w="100" w:type="dxa"/>
              <w:bottom w:w="90" w:type="dxa"/>
              <w:end w:w="100" w:type="dxa"/>
            </w:tcMar>
            <w:vAlign w:val="top"/>
          </w:tcPr>
          <w:p>
            <w:pPr>
              <w:spacing w:after="30"/>
            </w:pPr>
            <w:r>
              <w:rPr>
                <w:rFonts w:ascii="Aptos" w:hAnsi="Aptos"/>
                <w:sz w:val="15"/>
              </w:rPr>
              <w:t>Cyber Risk &amp; Resilience</w:t>
            </w:r>
          </w:p>
        </w:tc>
        <w:tc>
          <w:tcPr>
            <w:tcW w:type="dxa" w:w="3744"/>
            <w:tcMar>
              <w:top w:w="90" w:type="dxa"/>
              <w:start w:w="100" w:type="dxa"/>
              <w:bottom w:w="90" w:type="dxa"/>
              <w:end w:w="100" w:type="dxa"/>
            </w:tcMar>
            <w:vAlign w:val="top"/>
          </w:tcPr>
          <w:p>
            <w:pPr>
              <w:spacing w:after="30"/>
            </w:pPr>
            <w:r>
              <w:rPr>
                <w:rFonts w:ascii="Aptos" w:hAnsi="Aptos"/>
                <w:sz w:val="15"/>
              </w:rPr>
              <w:t>Risk management built for how your organization actually operates.</w:t>
            </w:r>
          </w:p>
        </w:tc>
        <w:tc>
          <w:tcPr>
            <w:tcW w:type="dxa" w:w="4608"/>
            <w:tcMar>
              <w:top w:w="90" w:type="dxa"/>
              <w:start w:w="100" w:type="dxa"/>
              <w:bottom w:w="90" w:type="dxa"/>
              <w:end w:w="100" w:type="dxa"/>
            </w:tcMar>
            <w:vAlign w:val="top"/>
          </w:tcPr>
          <w:p>
            <w:pPr>
              <w:spacing w:after="30"/>
            </w:pPr>
            <w:r>
              <w:rPr>
                <w:rFonts w:ascii="Aptos" w:hAnsi="Aptos"/>
                <w:sz w:val="15"/>
              </w:rPr>
              <w:t>Lead with vendor, incident, maturity, startup, and cloud operating problems rather than framework acronyms.</w:t>
            </w:r>
          </w:p>
        </w:tc>
      </w:tr>
      <w:tr>
        <w:trPr>
          <w:cantSplit/>
        </w:trPr>
        <w:tc>
          <w:tcPr>
            <w:tcW w:type="dxa" w:w="2160"/>
            <w:tcMar>
              <w:top w:w="90" w:type="dxa"/>
              <w:start w:w="100" w:type="dxa"/>
              <w:bottom w:w="90" w:type="dxa"/>
              <w:end w:w="100" w:type="dxa"/>
            </w:tcMar>
            <w:vAlign w:val="top"/>
          </w:tcPr>
          <w:p>
            <w:pPr>
              <w:spacing w:after="30"/>
            </w:pPr>
            <w:r>
              <w:rPr>
                <w:rFonts w:ascii="Aptos" w:hAnsi="Aptos"/>
                <w:sz w:val="15"/>
              </w:rPr>
              <w:t>AI Governance &amp; Responsible AI</w:t>
            </w:r>
          </w:p>
        </w:tc>
        <w:tc>
          <w:tcPr>
            <w:tcW w:type="dxa" w:w="3744"/>
            <w:tcMar>
              <w:top w:w="90" w:type="dxa"/>
              <w:start w:w="100" w:type="dxa"/>
              <w:bottom w:w="90" w:type="dxa"/>
              <w:end w:w="100" w:type="dxa"/>
            </w:tcMar>
            <w:vAlign w:val="top"/>
          </w:tcPr>
          <w:p>
            <w:pPr>
              <w:spacing w:after="30"/>
            </w:pPr>
            <w:r>
              <w:rPr>
                <w:rFonts w:ascii="Aptos" w:hAnsi="Aptos"/>
                <w:sz w:val="15"/>
              </w:rPr>
              <w:t>Governance for how your organization actually uses AI.</w:t>
            </w:r>
          </w:p>
        </w:tc>
        <w:tc>
          <w:tcPr>
            <w:tcW w:type="dxa" w:w="4608"/>
            <w:tcMar>
              <w:top w:w="90" w:type="dxa"/>
              <w:start w:w="100" w:type="dxa"/>
              <w:bottom w:w="90" w:type="dxa"/>
              <w:end w:w="100" w:type="dxa"/>
            </w:tcMar>
            <w:vAlign w:val="top"/>
          </w:tcPr>
          <w:p>
            <w:pPr>
              <w:spacing w:after="30"/>
            </w:pPr>
            <w:r>
              <w:rPr>
                <w:rFonts w:ascii="Aptos" w:hAnsi="Aptos"/>
                <w:sz w:val="15"/>
              </w:rPr>
              <w:t>Explain that ISO 42001, the EU AI Act, and NIST AI RMF answer different questions, while Cyvelle integrates them with security, risk, compliance, and business accountability.</w:t>
            </w:r>
          </w:p>
        </w:tc>
      </w:tr>
    </w:tbl>
    <w:p>
      <w:pPr>
        <w:pStyle w:val="Heading2"/>
      </w:pPr>
      <w:r>
        <w:t>Executive leadership decision table</w:t>
      </w:r>
    </w:p>
    <w:tbl>
      <w:tblPr>
        <w:tblStyle w:val="TableGrid"/>
        <w:tblW w:type="auto" w:w="0"/>
        <w:jc w:val="center"/>
        <w:tblLook w:firstColumn="1" w:firstRow="1" w:lastColumn="0" w:lastRow="0" w:noHBand="0" w:noVBand="1" w:val="04A0"/>
      </w:tblPr>
      <w:tblGrid>
        <w:gridCol w:w="5083"/>
        <w:gridCol w:w="5083"/>
      </w:tblGrid>
      <w:tr>
        <w:trPr>
          <w:cantSplit/>
        </w:trPr>
        <w:tc>
          <w:tcPr>
            <w:tcW w:type="dxa" w:w="3024"/>
            <w:tcMar>
              <w:top w:w="90" w:type="dxa"/>
              <w:start w:w="100" w:type="dxa"/>
              <w:bottom w:w="90" w:type="dxa"/>
              <w:end w:w="100" w:type="dxa"/>
            </w:tcMar>
            <w:vAlign w:val="top"/>
            <w:shd w:fill="D9EAF7"/>
          </w:tcPr>
          <w:p>
            <w:pPr>
              <w:spacing w:after="30"/>
            </w:pPr>
            <w:r>
              <w:rPr>
                <w:rFonts w:ascii="Aptos" w:hAnsi="Aptos"/>
                <w:b/>
                <w:sz w:val="16"/>
              </w:rPr>
              <w:t>Service</w:t>
            </w:r>
          </w:p>
        </w:tc>
        <w:tc>
          <w:tcPr>
            <w:tcW w:type="dxa" w:w="7488"/>
            <w:tcMar>
              <w:top w:w="90" w:type="dxa"/>
              <w:start w:w="100" w:type="dxa"/>
              <w:bottom w:w="90" w:type="dxa"/>
              <w:end w:w="100" w:type="dxa"/>
            </w:tcMar>
            <w:vAlign w:val="top"/>
            <w:shd w:fill="D9EAF7"/>
          </w:tcPr>
          <w:p>
            <w:pPr>
              <w:spacing w:after="30"/>
            </w:pPr>
            <w:r>
              <w:rPr>
                <w:rFonts w:ascii="Aptos" w:hAnsi="Aptos"/>
                <w:b/>
                <w:sz w:val="16"/>
              </w:rPr>
              <w:t>Best fit</w:t>
            </w:r>
          </w:p>
        </w:tc>
      </w:tr>
      <w:tr>
        <w:trPr>
          <w:cantSplit/>
        </w:trPr>
        <w:tc>
          <w:tcPr>
            <w:tcW w:type="dxa" w:w="3024"/>
            <w:tcMar>
              <w:top w:w="90" w:type="dxa"/>
              <w:start w:w="100" w:type="dxa"/>
              <w:bottom w:w="90" w:type="dxa"/>
              <w:end w:w="100" w:type="dxa"/>
            </w:tcMar>
            <w:vAlign w:val="top"/>
          </w:tcPr>
          <w:p>
            <w:pPr>
              <w:spacing w:after="30"/>
            </w:pPr>
            <w:r>
              <w:rPr>
                <w:rFonts w:ascii="Aptos" w:hAnsi="Aptos"/>
                <w:sz w:val="16"/>
              </w:rPr>
              <w:t>Virtual CISO</w:t>
            </w:r>
          </w:p>
        </w:tc>
        <w:tc>
          <w:tcPr>
            <w:tcW w:type="dxa" w:w="7488"/>
            <w:tcMar>
              <w:top w:w="90" w:type="dxa"/>
              <w:start w:w="100" w:type="dxa"/>
              <w:bottom w:w="90" w:type="dxa"/>
              <w:end w:w="100" w:type="dxa"/>
            </w:tcMar>
            <w:vAlign w:val="top"/>
          </w:tcPr>
          <w:p>
            <w:pPr>
              <w:spacing w:after="30"/>
            </w:pPr>
            <w:r>
              <w:rPr>
                <w:rFonts w:ascii="Aptos" w:hAnsi="Aptos"/>
                <w:sz w:val="16"/>
              </w:rPr>
              <w:t>Ongoing executive direction, strategy, risk decisions, governance, assurance, and reporting.</w:t>
            </w:r>
          </w:p>
        </w:tc>
      </w:tr>
      <w:tr>
        <w:trPr>
          <w:cantSplit/>
        </w:trPr>
        <w:tc>
          <w:tcPr>
            <w:tcW w:type="dxa" w:w="3024"/>
            <w:tcMar>
              <w:top w:w="90" w:type="dxa"/>
              <w:start w:w="100" w:type="dxa"/>
              <w:bottom w:w="90" w:type="dxa"/>
              <w:end w:w="100" w:type="dxa"/>
            </w:tcMar>
            <w:vAlign w:val="top"/>
          </w:tcPr>
          <w:p>
            <w:pPr>
              <w:spacing w:after="30"/>
            </w:pPr>
            <w:r>
              <w:rPr>
                <w:rFonts w:ascii="Aptos" w:hAnsi="Aptos"/>
                <w:sz w:val="16"/>
              </w:rPr>
              <w:t>Part-Time CISO</w:t>
            </w:r>
          </w:p>
        </w:tc>
        <w:tc>
          <w:tcPr>
            <w:tcW w:type="dxa" w:w="7488"/>
            <w:tcMar>
              <w:top w:w="90" w:type="dxa"/>
              <w:start w:w="100" w:type="dxa"/>
              <w:bottom w:w="90" w:type="dxa"/>
              <w:end w:w="100" w:type="dxa"/>
            </w:tcMar>
            <w:vAlign w:val="top"/>
          </w:tcPr>
          <w:p>
            <w:pPr>
              <w:spacing w:after="30"/>
            </w:pPr>
            <w:r>
              <w:rPr>
                <w:rFonts w:ascii="Aptos" w:hAnsi="Aptos"/>
                <w:sz w:val="16"/>
              </w:rPr>
              <w:t>An embedded leader on a defined weekly cadence during a leadership gap, transition, or build-out.</w:t>
            </w:r>
          </w:p>
        </w:tc>
      </w:tr>
      <w:tr>
        <w:trPr>
          <w:cantSplit/>
        </w:trPr>
        <w:tc>
          <w:tcPr>
            <w:tcW w:type="dxa" w:w="3024"/>
            <w:tcMar>
              <w:top w:w="90" w:type="dxa"/>
              <w:start w:w="100" w:type="dxa"/>
              <w:bottom w:w="90" w:type="dxa"/>
              <w:end w:w="100" w:type="dxa"/>
            </w:tcMar>
            <w:vAlign w:val="top"/>
          </w:tcPr>
          <w:p>
            <w:pPr>
              <w:spacing w:after="30"/>
            </w:pPr>
            <w:r>
              <w:rPr>
                <w:rFonts w:ascii="Aptos" w:hAnsi="Aptos"/>
                <w:sz w:val="16"/>
              </w:rPr>
              <w:t>Fractional Compliance Officer</w:t>
            </w:r>
          </w:p>
        </w:tc>
        <w:tc>
          <w:tcPr>
            <w:tcW w:type="dxa" w:w="7488"/>
            <w:tcMar>
              <w:top w:w="90" w:type="dxa"/>
              <w:start w:w="100" w:type="dxa"/>
              <w:bottom w:w="90" w:type="dxa"/>
              <w:end w:w="100" w:type="dxa"/>
            </w:tcMar>
            <w:vAlign w:val="top"/>
          </w:tcPr>
          <w:p>
            <w:pPr>
              <w:spacing w:after="30"/>
            </w:pPr>
            <w:r>
              <w:rPr>
                <w:rFonts w:ascii="Aptos" w:hAnsi="Aptos"/>
                <w:sz w:val="16"/>
              </w:rPr>
              <w:t>Ongoing ownership of frameworks, policies, evidence, audit coordination, and compliance operations.</w:t>
            </w:r>
          </w:p>
        </w:tc>
      </w:tr>
    </w:tbl>
    <w:p>
      <w:pPr>
        <w:pStyle w:val="Heading1"/>
      </w:pPr>
      <w:r>
        <w:t>6. Pricing Page and Sitewide Pricing Rules</w:t>
      </w:r>
    </w:p>
    <w:p>
      <w:pPr>
        <w:pStyle w:val="Heading3"/>
      </w:pPr>
      <w:r>
        <w:t>Page: /pricing</w:t>
      </w:r>
    </w:p>
    <w:p>
      <w:r>
        <w:t>SEO title: Pricing | Cyvelle Consulting Governance &amp; Compliance Advisory</w:t>
      </w:r>
    </w:p>
    <w:p>
      <w:pPr>
        <w:pStyle w:val="Heading1"/>
      </w:pPr>
      <w:r>
        <w:t>H1: Transparent pricing, scoped to the work.</w:t>
      </w:r>
    </w:p>
    <w:p>
      <w:r>
        <w:t>Cyvelle publishes a standard price path for each service so you can calibrate budget before a consultation. The final Statement of Work confirms the exact scope based on entities, systems, frameworks, evidence maturity, delivery complexity, and external dependencies.</w:t>
      </w:r>
    </w:p>
    <w:p>
      <w:r>
        <w:t>The Governance Blueprint remains one fixed-price offer. All other services use three public bands. Independent audit, certification, legal, testing, software, travel, remediation, and other third-party costs remain separate where applicable.</w:t>
      </w:r>
    </w:p>
    <w:p>
      <w:pPr>
        <w:pStyle w:val="DeveloperNote"/>
      </w:pPr>
      <w:r>
        <w:t>Website treatment</w:t>
      </w:r>
    </w:p>
    <w:p>
      <w:r>
        <w:t>Group pricing by practice area. Do not create one giant comparison grid on mobile. Use service cards linking to the individual service page, where the buyer sees full scope distinctions.</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tcMar>
              <w:top w:w="90" w:type="dxa"/>
              <w:start w:w="100" w:type="dxa"/>
              <w:bottom w:w="90" w:type="dxa"/>
              <w:end w:w="100" w:type="dxa"/>
            </w:tcMar>
            <w:vAlign w:val="top"/>
            <w:shd w:fill="D9EAF7"/>
          </w:tcPr>
          <w:p>
            <w:pPr>
              <w:spacing w:after="30"/>
            </w:pPr>
            <w:r>
              <w:rPr>
                <w:rFonts w:ascii="Aptos" w:hAnsi="Aptos"/>
                <w:b/>
                <w:sz w:val="14"/>
              </w:rPr>
              <w:t>Service</w:t>
            </w:r>
          </w:p>
        </w:tc>
        <w:tc>
          <w:tcPr>
            <w:tcW w:type="dxa" w:w="2541"/>
            <w:tcMar>
              <w:top w:w="90" w:type="dxa"/>
              <w:start w:w="100" w:type="dxa"/>
              <w:bottom w:w="90" w:type="dxa"/>
              <w:end w:w="100" w:type="dxa"/>
            </w:tcMar>
            <w:vAlign w:val="top"/>
            <w:shd w:fill="D9EAF7"/>
          </w:tcPr>
          <w:p>
            <w:pPr>
              <w:spacing w:after="30"/>
            </w:pPr>
            <w:r>
              <w:rPr>
                <w:rFonts w:ascii="Aptos" w:hAnsi="Aptos"/>
                <w:b/>
                <w:sz w:val="14"/>
              </w:rPr>
              <w:t>Band 1</w:t>
            </w:r>
          </w:p>
        </w:tc>
        <w:tc>
          <w:tcPr>
            <w:tcW w:type="dxa" w:w="2541"/>
            <w:tcMar>
              <w:top w:w="90" w:type="dxa"/>
              <w:start w:w="100" w:type="dxa"/>
              <w:bottom w:w="90" w:type="dxa"/>
              <w:end w:w="100" w:type="dxa"/>
            </w:tcMar>
            <w:vAlign w:val="top"/>
            <w:shd w:fill="D9EAF7"/>
          </w:tcPr>
          <w:p>
            <w:pPr>
              <w:spacing w:after="30"/>
            </w:pPr>
            <w:r>
              <w:rPr>
                <w:rFonts w:ascii="Aptos" w:hAnsi="Aptos"/>
                <w:b/>
                <w:sz w:val="14"/>
              </w:rPr>
              <w:t>Band 2</w:t>
            </w:r>
          </w:p>
        </w:tc>
        <w:tc>
          <w:tcPr>
            <w:tcW w:type="dxa" w:w="2541"/>
            <w:tcMar>
              <w:top w:w="90" w:type="dxa"/>
              <w:start w:w="100" w:type="dxa"/>
              <w:bottom w:w="90" w:type="dxa"/>
              <w:end w:w="100" w:type="dxa"/>
            </w:tcMar>
            <w:vAlign w:val="top"/>
            <w:shd w:fill="D9EAF7"/>
          </w:tcPr>
          <w:p>
            <w:pPr>
              <w:spacing w:after="30"/>
            </w:pPr>
            <w:r>
              <w:rPr>
                <w:rFonts w:ascii="Aptos" w:hAnsi="Aptos"/>
                <w:b/>
                <w:sz w:val="14"/>
              </w:rPr>
              <w:t>Band 3</w:t>
            </w:r>
          </w:p>
        </w:tc>
      </w:tr>
      <w:tr>
        <w:trPr>
          <w:cantSplit/>
        </w:trPr>
        <w:tc>
          <w:tcPr>
            <w:tcW w:type="dxa" w:w="2541"/>
            <w:tcMar>
              <w:top w:w="90" w:type="dxa"/>
              <w:start w:w="100" w:type="dxa"/>
              <w:bottom w:w="90" w:type="dxa"/>
              <w:end w:w="100" w:type="dxa"/>
            </w:tcMar>
            <w:vAlign w:val="top"/>
          </w:tcPr>
          <w:p>
            <w:pPr>
              <w:spacing w:after="30"/>
            </w:pPr>
            <w:r>
              <w:rPr>
                <w:rFonts w:ascii="Aptos" w:hAnsi="Aptos"/>
                <w:sz w:val="14"/>
              </w:rPr>
              <w:t>Virtual CISO (vCISO)</w:t>
            </w:r>
          </w:p>
        </w:tc>
        <w:tc>
          <w:tcPr>
            <w:tcW w:type="dxa" w:w="2541"/>
            <w:tcMar>
              <w:top w:w="90" w:type="dxa"/>
              <w:start w:w="100" w:type="dxa"/>
              <w:bottom w:w="90" w:type="dxa"/>
              <w:end w:w="100" w:type="dxa"/>
            </w:tcMar>
            <w:vAlign w:val="top"/>
          </w:tcPr>
          <w:p>
            <w:pPr>
              <w:spacing w:after="30"/>
            </w:pPr>
            <w:r>
              <w:rPr>
                <w:rFonts w:ascii="Aptos" w:hAnsi="Aptos"/>
                <w:sz w:val="14"/>
              </w:rPr>
              <w:t>$5,500 / month</w:t>
            </w:r>
          </w:p>
        </w:tc>
        <w:tc>
          <w:tcPr>
            <w:tcW w:type="dxa" w:w="2541"/>
            <w:tcMar>
              <w:top w:w="90" w:type="dxa"/>
              <w:start w:w="100" w:type="dxa"/>
              <w:bottom w:w="90" w:type="dxa"/>
              <w:end w:w="100" w:type="dxa"/>
            </w:tcMar>
            <w:vAlign w:val="top"/>
          </w:tcPr>
          <w:p>
            <w:pPr>
              <w:spacing w:after="30"/>
            </w:pPr>
            <w:r>
              <w:rPr>
                <w:rFonts w:ascii="Aptos" w:hAnsi="Aptos"/>
                <w:sz w:val="14"/>
              </w:rPr>
              <w:t>$8,500 / month</w:t>
            </w:r>
          </w:p>
        </w:tc>
        <w:tc>
          <w:tcPr>
            <w:tcW w:type="dxa" w:w="2541"/>
            <w:tcMar>
              <w:top w:w="90" w:type="dxa"/>
              <w:start w:w="100" w:type="dxa"/>
              <w:bottom w:w="90" w:type="dxa"/>
              <w:end w:w="100" w:type="dxa"/>
            </w:tcMar>
            <w:vAlign w:val="top"/>
          </w:tcPr>
          <w:p>
            <w:pPr>
              <w:spacing w:after="30"/>
            </w:pPr>
            <w:r>
              <w:rPr>
                <w:rFonts w:ascii="Aptos" w:hAnsi="Aptos"/>
                <w:sz w:val="14"/>
              </w:rPr>
              <w:t>$12,000 / month</w:t>
            </w:r>
          </w:p>
        </w:tc>
      </w:tr>
      <w:tr>
        <w:trPr>
          <w:cantSplit/>
        </w:trPr>
        <w:tc>
          <w:tcPr>
            <w:tcW w:type="dxa" w:w="2541"/>
            <w:tcMar>
              <w:top w:w="90" w:type="dxa"/>
              <w:start w:w="100" w:type="dxa"/>
              <w:bottom w:w="90" w:type="dxa"/>
              <w:end w:w="100" w:type="dxa"/>
            </w:tcMar>
            <w:vAlign w:val="top"/>
          </w:tcPr>
          <w:p>
            <w:pPr>
              <w:spacing w:after="30"/>
            </w:pPr>
            <w:r>
              <w:rPr>
                <w:rFonts w:ascii="Aptos" w:hAnsi="Aptos"/>
                <w:sz w:val="14"/>
              </w:rPr>
              <w:t>Part-Time CISO</w:t>
            </w:r>
          </w:p>
        </w:tc>
        <w:tc>
          <w:tcPr>
            <w:tcW w:type="dxa" w:w="2541"/>
            <w:tcMar>
              <w:top w:w="90" w:type="dxa"/>
              <w:start w:w="100" w:type="dxa"/>
              <w:bottom w:w="90" w:type="dxa"/>
              <w:end w:w="100" w:type="dxa"/>
            </w:tcMar>
            <w:vAlign w:val="top"/>
          </w:tcPr>
          <w:p>
            <w:pPr>
              <w:spacing w:after="30"/>
            </w:pPr>
            <w:r>
              <w:rPr>
                <w:rFonts w:ascii="Aptos" w:hAnsi="Aptos"/>
                <w:sz w:val="14"/>
              </w:rPr>
              <w:t>$5,500 / month</w:t>
            </w:r>
          </w:p>
        </w:tc>
        <w:tc>
          <w:tcPr>
            <w:tcW w:type="dxa" w:w="2541"/>
            <w:tcMar>
              <w:top w:w="90" w:type="dxa"/>
              <w:start w:w="100" w:type="dxa"/>
              <w:bottom w:w="90" w:type="dxa"/>
              <w:end w:w="100" w:type="dxa"/>
            </w:tcMar>
            <w:vAlign w:val="top"/>
          </w:tcPr>
          <w:p>
            <w:pPr>
              <w:spacing w:after="30"/>
            </w:pPr>
            <w:r>
              <w:rPr>
                <w:rFonts w:ascii="Aptos" w:hAnsi="Aptos"/>
                <w:sz w:val="14"/>
              </w:rPr>
              <w:t>$8,500 / month</w:t>
            </w:r>
          </w:p>
        </w:tc>
        <w:tc>
          <w:tcPr>
            <w:tcW w:type="dxa" w:w="2541"/>
            <w:tcMar>
              <w:top w:w="90" w:type="dxa"/>
              <w:start w:w="100" w:type="dxa"/>
              <w:bottom w:w="90" w:type="dxa"/>
              <w:end w:w="100" w:type="dxa"/>
            </w:tcMar>
            <w:vAlign w:val="top"/>
          </w:tcPr>
          <w:p>
            <w:pPr>
              <w:spacing w:after="30"/>
            </w:pPr>
            <w:r>
              <w:rPr>
                <w:rFonts w:ascii="Aptos" w:hAnsi="Aptos"/>
                <w:sz w:val="14"/>
              </w:rPr>
              <w:t>$12,000 / month</w:t>
            </w:r>
          </w:p>
        </w:tc>
      </w:tr>
      <w:tr>
        <w:trPr>
          <w:cantSplit/>
        </w:trPr>
        <w:tc>
          <w:tcPr>
            <w:tcW w:type="dxa" w:w="2541"/>
            <w:tcMar>
              <w:top w:w="90" w:type="dxa"/>
              <w:start w:w="100" w:type="dxa"/>
              <w:bottom w:w="90" w:type="dxa"/>
              <w:end w:w="100" w:type="dxa"/>
            </w:tcMar>
            <w:vAlign w:val="top"/>
          </w:tcPr>
          <w:p>
            <w:pPr>
              <w:spacing w:after="30"/>
            </w:pPr>
            <w:r>
              <w:rPr>
                <w:rFonts w:ascii="Aptos" w:hAnsi="Aptos"/>
                <w:sz w:val="14"/>
              </w:rPr>
              <w:t>Fractional Compliance Officer</w:t>
            </w:r>
          </w:p>
        </w:tc>
        <w:tc>
          <w:tcPr>
            <w:tcW w:type="dxa" w:w="2541"/>
            <w:tcMar>
              <w:top w:w="90" w:type="dxa"/>
              <w:start w:w="100" w:type="dxa"/>
              <w:bottom w:w="90" w:type="dxa"/>
              <w:end w:w="100" w:type="dxa"/>
            </w:tcMar>
            <w:vAlign w:val="top"/>
          </w:tcPr>
          <w:p>
            <w:pPr>
              <w:spacing w:after="30"/>
            </w:pPr>
            <w:r>
              <w:rPr>
                <w:rFonts w:ascii="Aptos" w:hAnsi="Aptos"/>
                <w:sz w:val="14"/>
              </w:rPr>
              <w:t>$5,500 / month</w:t>
            </w:r>
          </w:p>
        </w:tc>
        <w:tc>
          <w:tcPr>
            <w:tcW w:type="dxa" w:w="2541"/>
            <w:tcMar>
              <w:top w:w="90" w:type="dxa"/>
              <w:start w:w="100" w:type="dxa"/>
              <w:bottom w:w="90" w:type="dxa"/>
              <w:end w:w="100" w:type="dxa"/>
            </w:tcMar>
            <w:vAlign w:val="top"/>
          </w:tcPr>
          <w:p>
            <w:pPr>
              <w:spacing w:after="30"/>
            </w:pPr>
            <w:r>
              <w:rPr>
                <w:rFonts w:ascii="Aptos" w:hAnsi="Aptos"/>
                <w:sz w:val="14"/>
              </w:rPr>
              <w:t>$8,500 / month</w:t>
            </w:r>
          </w:p>
        </w:tc>
        <w:tc>
          <w:tcPr>
            <w:tcW w:type="dxa" w:w="2541"/>
            <w:tcMar>
              <w:top w:w="90" w:type="dxa"/>
              <w:start w:w="100" w:type="dxa"/>
              <w:bottom w:w="90" w:type="dxa"/>
              <w:end w:w="100" w:type="dxa"/>
            </w:tcMar>
            <w:vAlign w:val="top"/>
          </w:tcPr>
          <w:p>
            <w:pPr>
              <w:spacing w:after="30"/>
            </w:pPr>
            <w:r>
              <w:rPr>
                <w:rFonts w:ascii="Aptos" w:hAnsi="Aptos"/>
                <w:sz w:val="14"/>
              </w:rPr>
              <w:t>$12,000 / month</w:t>
            </w:r>
          </w:p>
        </w:tc>
      </w:tr>
      <w:tr>
        <w:trPr>
          <w:cantSplit/>
        </w:trPr>
        <w:tc>
          <w:tcPr>
            <w:tcW w:type="dxa" w:w="2541"/>
            <w:tcMar>
              <w:top w:w="90" w:type="dxa"/>
              <w:start w:w="100" w:type="dxa"/>
              <w:bottom w:w="90" w:type="dxa"/>
              <w:end w:w="100" w:type="dxa"/>
            </w:tcMar>
            <w:vAlign w:val="top"/>
          </w:tcPr>
          <w:p>
            <w:pPr>
              <w:spacing w:after="30"/>
            </w:pPr>
            <w:r>
              <w:rPr>
                <w:rFonts w:ascii="Aptos" w:hAnsi="Aptos"/>
                <w:sz w:val="14"/>
              </w:rPr>
              <w:t>SOC 2 Readiness</w:t>
            </w:r>
          </w:p>
        </w:tc>
        <w:tc>
          <w:tcPr>
            <w:tcW w:type="dxa" w:w="2541"/>
            <w:tcMar>
              <w:top w:w="90" w:type="dxa"/>
              <w:start w:w="100" w:type="dxa"/>
              <w:bottom w:w="90" w:type="dxa"/>
              <w:end w:w="100" w:type="dxa"/>
            </w:tcMar>
            <w:vAlign w:val="top"/>
          </w:tcPr>
          <w:p>
            <w:pPr>
              <w:spacing w:after="30"/>
            </w:pPr>
            <w:r>
              <w:rPr>
                <w:rFonts w:ascii="Aptos" w:hAnsi="Aptos"/>
                <w:sz w:val="14"/>
              </w:rPr>
              <w:t>$9,500 fixed</w:t>
            </w:r>
          </w:p>
        </w:tc>
        <w:tc>
          <w:tcPr>
            <w:tcW w:type="dxa" w:w="2541"/>
            <w:tcMar>
              <w:top w:w="90" w:type="dxa"/>
              <w:start w:w="100" w:type="dxa"/>
              <w:bottom w:w="90" w:type="dxa"/>
              <w:end w:w="100" w:type="dxa"/>
            </w:tcMar>
            <w:vAlign w:val="top"/>
          </w:tcPr>
          <w:p>
            <w:pPr>
              <w:spacing w:after="30"/>
            </w:pPr>
            <w:r>
              <w:rPr>
                <w:rFonts w:ascii="Aptos" w:hAnsi="Aptos"/>
                <w:sz w:val="14"/>
              </w:rPr>
              <w:t>$20,000 fixed</w:t>
            </w:r>
          </w:p>
        </w:tc>
        <w:tc>
          <w:tcPr>
            <w:tcW w:type="dxa" w:w="2541"/>
            <w:tcMar>
              <w:top w:w="90" w:type="dxa"/>
              <w:start w:w="100" w:type="dxa"/>
              <w:bottom w:w="90" w:type="dxa"/>
              <w:end w:w="100" w:type="dxa"/>
            </w:tcMar>
            <w:vAlign w:val="top"/>
          </w:tcPr>
          <w:p>
            <w:pPr>
              <w:spacing w:after="30"/>
            </w:pPr>
            <w:r>
              <w:rPr>
                <w:rFonts w:ascii="Aptos" w:hAnsi="Aptos"/>
                <w:sz w:val="14"/>
              </w:rPr>
              <w:t>$30,000 fixed</w:t>
            </w:r>
          </w:p>
        </w:tc>
      </w:tr>
      <w:tr>
        <w:trPr>
          <w:cantSplit/>
        </w:trPr>
        <w:tc>
          <w:tcPr>
            <w:tcW w:type="dxa" w:w="2541"/>
            <w:tcMar>
              <w:top w:w="90" w:type="dxa"/>
              <w:start w:w="100" w:type="dxa"/>
              <w:bottom w:w="90" w:type="dxa"/>
              <w:end w:w="100" w:type="dxa"/>
            </w:tcMar>
            <w:vAlign w:val="top"/>
          </w:tcPr>
          <w:p>
            <w:pPr>
              <w:spacing w:after="30"/>
            </w:pPr>
            <w:r>
              <w:rPr>
                <w:rFonts w:ascii="Aptos" w:hAnsi="Aptos"/>
                <w:sz w:val="14"/>
              </w:rPr>
              <w:t>ISO 27001 Readiness</w:t>
            </w:r>
          </w:p>
        </w:tc>
        <w:tc>
          <w:tcPr>
            <w:tcW w:type="dxa" w:w="2541"/>
            <w:tcMar>
              <w:top w:w="90" w:type="dxa"/>
              <w:start w:w="100" w:type="dxa"/>
              <w:bottom w:w="90" w:type="dxa"/>
              <w:end w:w="100" w:type="dxa"/>
            </w:tcMar>
            <w:vAlign w:val="top"/>
          </w:tcPr>
          <w:p>
            <w:pPr>
              <w:spacing w:after="30"/>
            </w:pPr>
            <w:r>
              <w:rPr>
                <w:rFonts w:ascii="Aptos" w:hAnsi="Aptos"/>
                <w:sz w:val="14"/>
              </w:rPr>
              <w:t>From $12,500</w:t>
            </w:r>
          </w:p>
        </w:tc>
        <w:tc>
          <w:tcPr>
            <w:tcW w:type="dxa" w:w="2541"/>
            <w:tcMar>
              <w:top w:w="90" w:type="dxa"/>
              <w:start w:w="100" w:type="dxa"/>
              <w:bottom w:w="90" w:type="dxa"/>
              <w:end w:w="100" w:type="dxa"/>
            </w:tcMar>
            <w:vAlign w:val="top"/>
          </w:tcPr>
          <w:p>
            <w:pPr>
              <w:spacing w:after="30"/>
            </w:pPr>
            <w:r>
              <w:rPr>
                <w:rFonts w:ascii="Aptos" w:hAnsi="Aptos"/>
                <w:sz w:val="14"/>
              </w:rPr>
              <w:t>From $40,000</w:t>
            </w:r>
          </w:p>
        </w:tc>
        <w:tc>
          <w:tcPr>
            <w:tcW w:type="dxa" w:w="2541"/>
            <w:tcMar>
              <w:top w:w="90" w:type="dxa"/>
              <w:start w:w="100" w:type="dxa"/>
              <w:bottom w:w="90" w:type="dxa"/>
              <w:end w:w="100" w:type="dxa"/>
            </w:tcMar>
            <w:vAlign w:val="top"/>
          </w:tcPr>
          <w:p>
            <w:pPr>
              <w:spacing w:after="30"/>
            </w:pPr>
            <w:r>
              <w:rPr>
                <w:rFonts w:ascii="Aptos" w:hAnsi="Aptos"/>
                <w:sz w:val="14"/>
              </w:rPr>
              <w:t>From $55,000</w:t>
            </w:r>
          </w:p>
        </w:tc>
      </w:tr>
      <w:tr>
        <w:trPr>
          <w:cantSplit/>
        </w:trPr>
        <w:tc>
          <w:tcPr>
            <w:tcW w:type="dxa" w:w="2541"/>
            <w:tcMar>
              <w:top w:w="90" w:type="dxa"/>
              <w:start w:w="100" w:type="dxa"/>
              <w:bottom w:w="90" w:type="dxa"/>
              <w:end w:w="100" w:type="dxa"/>
            </w:tcMar>
            <w:vAlign w:val="top"/>
          </w:tcPr>
          <w:p>
            <w:pPr>
              <w:spacing w:after="30"/>
            </w:pPr>
            <w:r>
              <w:rPr>
                <w:rFonts w:ascii="Aptos" w:hAnsi="Aptos"/>
                <w:sz w:val="14"/>
              </w:rPr>
              <w:t>PCI DSS Readiness</w:t>
            </w:r>
          </w:p>
        </w:tc>
        <w:tc>
          <w:tcPr>
            <w:tcW w:type="dxa" w:w="2541"/>
            <w:tcMar>
              <w:top w:w="90" w:type="dxa"/>
              <w:start w:w="100" w:type="dxa"/>
              <w:bottom w:w="90" w:type="dxa"/>
              <w:end w:w="100" w:type="dxa"/>
            </w:tcMar>
            <w:vAlign w:val="top"/>
          </w:tcPr>
          <w:p>
            <w:pPr>
              <w:spacing w:after="30"/>
            </w:pPr>
            <w:r>
              <w:rPr>
                <w:rFonts w:ascii="Aptos" w:hAnsi="Aptos"/>
                <w:sz w:val="14"/>
              </w:rPr>
              <w:t>$9,500 fixed</w:t>
            </w:r>
          </w:p>
        </w:tc>
        <w:tc>
          <w:tcPr>
            <w:tcW w:type="dxa" w:w="2541"/>
            <w:tcMar>
              <w:top w:w="90" w:type="dxa"/>
              <w:start w:w="100" w:type="dxa"/>
              <w:bottom w:w="90" w:type="dxa"/>
              <w:end w:w="100" w:type="dxa"/>
            </w:tcMar>
            <w:vAlign w:val="top"/>
          </w:tcPr>
          <w:p>
            <w:pPr>
              <w:spacing w:after="30"/>
            </w:pPr>
            <w:r>
              <w:rPr>
                <w:rFonts w:ascii="Aptos" w:hAnsi="Aptos"/>
                <w:sz w:val="14"/>
              </w:rPr>
              <w:t>From $20,000</w:t>
            </w:r>
          </w:p>
        </w:tc>
        <w:tc>
          <w:tcPr>
            <w:tcW w:type="dxa" w:w="2541"/>
            <w:tcMar>
              <w:top w:w="90" w:type="dxa"/>
              <w:start w:w="100" w:type="dxa"/>
              <w:bottom w:w="90" w:type="dxa"/>
              <w:end w:w="100" w:type="dxa"/>
            </w:tcMar>
            <w:vAlign w:val="top"/>
          </w:tcPr>
          <w:p>
            <w:pPr>
              <w:spacing w:after="30"/>
            </w:pPr>
            <w:r>
              <w:rPr>
                <w:rFonts w:ascii="Aptos" w:hAnsi="Aptos"/>
                <w:sz w:val="14"/>
              </w:rPr>
              <w:t>From $35,000</w:t>
            </w:r>
          </w:p>
        </w:tc>
      </w:tr>
      <w:tr>
        <w:trPr>
          <w:cantSplit/>
        </w:trPr>
        <w:tc>
          <w:tcPr>
            <w:tcW w:type="dxa" w:w="2541"/>
            <w:tcMar>
              <w:top w:w="90" w:type="dxa"/>
              <w:start w:w="100" w:type="dxa"/>
              <w:bottom w:w="90" w:type="dxa"/>
              <w:end w:w="100" w:type="dxa"/>
            </w:tcMar>
            <w:vAlign w:val="top"/>
          </w:tcPr>
          <w:p>
            <w:pPr>
              <w:spacing w:after="30"/>
            </w:pPr>
            <w:r>
              <w:rPr>
                <w:rFonts w:ascii="Aptos" w:hAnsi="Aptos"/>
                <w:sz w:val="14"/>
              </w:rPr>
              <w:t>HIPAA Readiness</w:t>
            </w:r>
          </w:p>
        </w:tc>
        <w:tc>
          <w:tcPr>
            <w:tcW w:type="dxa" w:w="2541"/>
            <w:tcMar>
              <w:top w:w="90" w:type="dxa"/>
              <w:start w:w="100" w:type="dxa"/>
              <w:bottom w:w="90" w:type="dxa"/>
              <w:end w:w="100" w:type="dxa"/>
            </w:tcMar>
            <w:vAlign w:val="top"/>
          </w:tcPr>
          <w:p>
            <w:pPr>
              <w:spacing w:after="30"/>
            </w:pPr>
            <w:r>
              <w:rPr>
                <w:rFonts w:ascii="Aptos" w:hAnsi="Aptos"/>
                <w:sz w:val="14"/>
              </w:rPr>
              <w:t>From $7,500</w:t>
            </w:r>
          </w:p>
        </w:tc>
        <w:tc>
          <w:tcPr>
            <w:tcW w:type="dxa" w:w="2541"/>
            <w:tcMar>
              <w:top w:w="90" w:type="dxa"/>
              <w:start w:w="100" w:type="dxa"/>
              <w:bottom w:w="90" w:type="dxa"/>
              <w:end w:w="100" w:type="dxa"/>
            </w:tcMar>
            <w:vAlign w:val="top"/>
          </w:tcPr>
          <w:p>
            <w:pPr>
              <w:spacing w:after="30"/>
            </w:pPr>
            <w:r>
              <w:rPr>
                <w:rFonts w:ascii="Aptos" w:hAnsi="Aptos"/>
                <w:sz w:val="14"/>
              </w:rPr>
              <w:t>From $15,000</w:t>
            </w:r>
          </w:p>
        </w:tc>
        <w:tc>
          <w:tcPr>
            <w:tcW w:type="dxa" w:w="2541"/>
            <w:tcMar>
              <w:top w:w="90" w:type="dxa"/>
              <w:start w:w="100" w:type="dxa"/>
              <w:bottom w:w="90" w:type="dxa"/>
              <w:end w:w="100" w:type="dxa"/>
            </w:tcMar>
            <w:vAlign w:val="top"/>
          </w:tcPr>
          <w:p>
            <w:pPr>
              <w:spacing w:after="30"/>
            </w:pPr>
            <w:r>
              <w:rPr>
                <w:rFonts w:ascii="Aptos" w:hAnsi="Aptos"/>
                <w:sz w:val="14"/>
              </w:rPr>
              <w:t>From $30,000</w:t>
            </w:r>
          </w:p>
        </w:tc>
      </w:tr>
      <w:tr>
        <w:trPr>
          <w:cantSplit/>
        </w:trPr>
        <w:tc>
          <w:tcPr>
            <w:tcW w:type="dxa" w:w="2541"/>
            <w:tcMar>
              <w:top w:w="90" w:type="dxa"/>
              <w:start w:w="100" w:type="dxa"/>
              <w:bottom w:w="90" w:type="dxa"/>
              <w:end w:w="100" w:type="dxa"/>
            </w:tcMar>
            <w:vAlign w:val="top"/>
          </w:tcPr>
          <w:p>
            <w:pPr>
              <w:spacing w:after="30"/>
            </w:pPr>
            <w:r>
              <w:rPr>
                <w:rFonts w:ascii="Aptos" w:hAnsi="Aptos"/>
                <w:sz w:val="14"/>
              </w:rPr>
              <w:t>HITRUST Readiness Support</w:t>
            </w:r>
          </w:p>
        </w:tc>
        <w:tc>
          <w:tcPr>
            <w:tcW w:type="dxa" w:w="2541"/>
            <w:tcMar>
              <w:top w:w="90" w:type="dxa"/>
              <w:start w:w="100" w:type="dxa"/>
              <w:bottom w:w="90" w:type="dxa"/>
              <w:end w:w="100" w:type="dxa"/>
            </w:tcMar>
            <w:vAlign w:val="top"/>
          </w:tcPr>
          <w:p>
            <w:pPr>
              <w:spacing w:after="30"/>
            </w:pPr>
            <w:r>
              <w:rPr>
                <w:rFonts w:ascii="Aptos" w:hAnsi="Aptos"/>
                <w:sz w:val="14"/>
              </w:rPr>
              <w:t>From $25,000</w:t>
            </w:r>
          </w:p>
        </w:tc>
        <w:tc>
          <w:tcPr>
            <w:tcW w:type="dxa" w:w="2541"/>
            <w:tcMar>
              <w:top w:w="90" w:type="dxa"/>
              <w:start w:w="100" w:type="dxa"/>
              <w:bottom w:w="90" w:type="dxa"/>
              <w:end w:w="100" w:type="dxa"/>
            </w:tcMar>
            <w:vAlign w:val="top"/>
          </w:tcPr>
          <w:p>
            <w:pPr>
              <w:spacing w:after="30"/>
            </w:pPr>
            <w:r>
              <w:rPr>
                <w:rFonts w:ascii="Aptos" w:hAnsi="Aptos"/>
                <w:sz w:val="14"/>
              </w:rPr>
              <w:t>$35,000 fixed</w:t>
            </w:r>
          </w:p>
        </w:tc>
        <w:tc>
          <w:tcPr>
            <w:tcW w:type="dxa" w:w="2541"/>
            <w:tcMar>
              <w:top w:w="90" w:type="dxa"/>
              <w:start w:w="100" w:type="dxa"/>
              <w:bottom w:w="90" w:type="dxa"/>
              <w:end w:w="100" w:type="dxa"/>
            </w:tcMar>
            <w:vAlign w:val="top"/>
          </w:tcPr>
          <w:p>
            <w:pPr>
              <w:spacing w:after="30"/>
            </w:pPr>
            <w:r>
              <w:rPr>
                <w:rFonts w:ascii="Aptos" w:hAnsi="Aptos"/>
                <w:sz w:val="14"/>
              </w:rPr>
              <w:t>From $55,000</w:t>
            </w:r>
          </w:p>
        </w:tc>
      </w:tr>
      <w:tr>
        <w:trPr>
          <w:cantSplit/>
        </w:trPr>
        <w:tc>
          <w:tcPr>
            <w:tcW w:type="dxa" w:w="2541"/>
            <w:tcMar>
              <w:top w:w="90" w:type="dxa"/>
              <w:start w:w="100" w:type="dxa"/>
              <w:bottom w:w="90" w:type="dxa"/>
              <w:end w:w="100" w:type="dxa"/>
            </w:tcMar>
            <w:vAlign w:val="top"/>
          </w:tcPr>
          <w:p>
            <w:pPr>
              <w:spacing w:after="30"/>
            </w:pPr>
            <w:r>
              <w:rPr>
                <w:rFonts w:ascii="Aptos" w:hAnsi="Aptos"/>
                <w:sz w:val="14"/>
              </w:rPr>
              <w:t>CMMC Readiness</w:t>
            </w:r>
          </w:p>
        </w:tc>
        <w:tc>
          <w:tcPr>
            <w:tcW w:type="dxa" w:w="2541"/>
            <w:tcMar>
              <w:top w:w="90" w:type="dxa"/>
              <w:start w:w="100" w:type="dxa"/>
              <w:bottom w:w="90" w:type="dxa"/>
              <w:end w:w="100" w:type="dxa"/>
            </w:tcMar>
            <w:vAlign w:val="top"/>
          </w:tcPr>
          <w:p>
            <w:pPr>
              <w:spacing w:after="30"/>
            </w:pPr>
            <w:r>
              <w:rPr>
                <w:rFonts w:ascii="Aptos" w:hAnsi="Aptos"/>
                <w:sz w:val="14"/>
              </w:rPr>
              <w:t>$9,500 fixed</w:t>
            </w:r>
          </w:p>
        </w:tc>
        <w:tc>
          <w:tcPr>
            <w:tcW w:type="dxa" w:w="2541"/>
            <w:tcMar>
              <w:top w:w="90" w:type="dxa"/>
              <w:start w:w="100" w:type="dxa"/>
              <w:bottom w:w="90" w:type="dxa"/>
              <w:end w:w="100" w:type="dxa"/>
            </w:tcMar>
            <w:vAlign w:val="top"/>
          </w:tcPr>
          <w:p>
            <w:pPr>
              <w:spacing w:after="30"/>
            </w:pPr>
            <w:r>
              <w:rPr>
                <w:rFonts w:ascii="Aptos" w:hAnsi="Aptos"/>
                <w:sz w:val="14"/>
              </w:rPr>
              <w:t>From $25,000</w:t>
            </w:r>
          </w:p>
        </w:tc>
        <w:tc>
          <w:tcPr>
            <w:tcW w:type="dxa" w:w="2541"/>
            <w:tcMar>
              <w:top w:w="90" w:type="dxa"/>
              <w:start w:w="100" w:type="dxa"/>
              <w:bottom w:w="90" w:type="dxa"/>
              <w:end w:w="100" w:type="dxa"/>
            </w:tcMar>
            <w:vAlign w:val="top"/>
          </w:tcPr>
          <w:p>
            <w:pPr>
              <w:spacing w:after="30"/>
            </w:pPr>
            <w:r>
              <w:rPr>
                <w:rFonts w:ascii="Aptos" w:hAnsi="Aptos"/>
                <w:sz w:val="14"/>
              </w:rPr>
              <w:t>From $40,000</w:t>
            </w:r>
          </w:p>
        </w:tc>
      </w:tr>
      <w:tr>
        <w:trPr>
          <w:cantSplit/>
        </w:trPr>
        <w:tc>
          <w:tcPr>
            <w:tcW w:type="dxa" w:w="2541"/>
            <w:tcMar>
              <w:top w:w="90" w:type="dxa"/>
              <w:start w:w="100" w:type="dxa"/>
              <w:bottom w:w="90" w:type="dxa"/>
              <w:end w:w="100" w:type="dxa"/>
            </w:tcMar>
            <w:vAlign w:val="top"/>
          </w:tcPr>
          <w:p>
            <w:pPr>
              <w:spacing w:after="30"/>
            </w:pPr>
            <w:r>
              <w:rPr>
                <w:rFonts w:ascii="Aptos" w:hAnsi="Aptos"/>
                <w:sz w:val="14"/>
              </w:rPr>
              <w:t>NIS2 Compliance Readiness</w:t>
            </w:r>
          </w:p>
        </w:tc>
        <w:tc>
          <w:tcPr>
            <w:tcW w:type="dxa" w:w="2541"/>
            <w:tcMar>
              <w:top w:w="90" w:type="dxa"/>
              <w:start w:w="100" w:type="dxa"/>
              <w:bottom w:w="90" w:type="dxa"/>
              <w:end w:w="100" w:type="dxa"/>
            </w:tcMar>
            <w:vAlign w:val="top"/>
          </w:tcPr>
          <w:p>
            <w:pPr>
              <w:spacing w:after="30"/>
            </w:pPr>
            <w:r>
              <w:rPr>
                <w:rFonts w:ascii="Aptos" w:hAnsi="Aptos"/>
                <w:sz w:val="14"/>
              </w:rPr>
              <w:t>From $9,500</w:t>
            </w:r>
          </w:p>
        </w:tc>
        <w:tc>
          <w:tcPr>
            <w:tcW w:type="dxa" w:w="2541"/>
            <w:tcMar>
              <w:top w:w="90" w:type="dxa"/>
              <w:start w:w="100" w:type="dxa"/>
              <w:bottom w:w="90" w:type="dxa"/>
              <w:end w:w="100" w:type="dxa"/>
            </w:tcMar>
            <w:vAlign w:val="top"/>
          </w:tcPr>
          <w:p>
            <w:pPr>
              <w:spacing w:after="30"/>
            </w:pPr>
            <w:r>
              <w:rPr>
                <w:rFonts w:ascii="Aptos" w:hAnsi="Aptos"/>
                <w:sz w:val="14"/>
              </w:rPr>
              <w:t>From $30,000</w:t>
            </w:r>
          </w:p>
        </w:tc>
        <w:tc>
          <w:tcPr>
            <w:tcW w:type="dxa" w:w="2541"/>
            <w:tcMar>
              <w:top w:w="90" w:type="dxa"/>
              <w:start w:w="100" w:type="dxa"/>
              <w:bottom w:w="90" w:type="dxa"/>
              <w:end w:w="100" w:type="dxa"/>
            </w:tcMar>
            <w:vAlign w:val="top"/>
          </w:tcPr>
          <w:p>
            <w:pPr>
              <w:spacing w:after="30"/>
            </w:pPr>
            <w:r>
              <w:rPr>
                <w:rFonts w:ascii="Aptos" w:hAnsi="Aptos"/>
                <w:sz w:val="14"/>
              </w:rPr>
              <w:t>From $50,000</w:t>
            </w:r>
          </w:p>
        </w:tc>
      </w:tr>
      <w:tr>
        <w:trPr>
          <w:cantSplit/>
        </w:trPr>
        <w:tc>
          <w:tcPr>
            <w:tcW w:type="dxa" w:w="2541"/>
            <w:tcMar>
              <w:top w:w="90" w:type="dxa"/>
              <w:start w:w="100" w:type="dxa"/>
              <w:bottom w:w="90" w:type="dxa"/>
              <w:end w:w="100" w:type="dxa"/>
            </w:tcMar>
            <w:vAlign w:val="top"/>
          </w:tcPr>
          <w:p>
            <w:pPr>
              <w:spacing w:after="30"/>
            </w:pPr>
            <w:r>
              <w:rPr>
                <w:rFonts w:ascii="Aptos" w:hAnsi="Aptos"/>
                <w:sz w:val="14"/>
              </w:rPr>
              <w:t>Audit and Certification Coordination</w:t>
            </w:r>
          </w:p>
        </w:tc>
        <w:tc>
          <w:tcPr>
            <w:tcW w:type="dxa" w:w="2541"/>
            <w:tcMar>
              <w:top w:w="90" w:type="dxa"/>
              <w:start w:w="100" w:type="dxa"/>
              <w:bottom w:w="90" w:type="dxa"/>
              <w:end w:w="100" w:type="dxa"/>
            </w:tcMar>
            <w:vAlign w:val="top"/>
          </w:tcPr>
          <w:p>
            <w:pPr>
              <w:spacing w:after="30"/>
            </w:pPr>
            <w:r>
              <w:rPr>
                <w:rFonts w:ascii="Aptos" w:hAnsi="Aptos"/>
                <w:sz w:val="14"/>
              </w:rPr>
              <w:t>From $7,500</w:t>
            </w:r>
          </w:p>
        </w:tc>
        <w:tc>
          <w:tcPr>
            <w:tcW w:type="dxa" w:w="2541"/>
            <w:tcMar>
              <w:top w:w="90" w:type="dxa"/>
              <w:start w:w="100" w:type="dxa"/>
              <w:bottom w:w="90" w:type="dxa"/>
              <w:end w:w="100" w:type="dxa"/>
            </w:tcMar>
            <w:vAlign w:val="top"/>
          </w:tcPr>
          <w:p>
            <w:pPr>
              <w:spacing w:after="30"/>
            </w:pPr>
            <w:r>
              <w:rPr>
                <w:rFonts w:ascii="Aptos" w:hAnsi="Aptos"/>
                <w:sz w:val="14"/>
              </w:rPr>
              <w:t>From $12,000</w:t>
            </w:r>
          </w:p>
        </w:tc>
        <w:tc>
          <w:tcPr>
            <w:tcW w:type="dxa" w:w="2541"/>
            <w:tcMar>
              <w:top w:w="90" w:type="dxa"/>
              <w:start w:w="100" w:type="dxa"/>
              <w:bottom w:w="90" w:type="dxa"/>
              <w:end w:w="100" w:type="dxa"/>
            </w:tcMar>
            <w:vAlign w:val="top"/>
          </w:tcPr>
          <w:p>
            <w:pPr>
              <w:spacing w:after="30"/>
            </w:pPr>
            <w:r>
              <w:rPr>
                <w:rFonts w:ascii="Aptos" w:hAnsi="Aptos"/>
                <w:sz w:val="14"/>
              </w:rPr>
              <w:t>From $18,000</w:t>
            </w:r>
          </w:p>
        </w:tc>
      </w:tr>
      <w:tr>
        <w:trPr>
          <w:cantSplit/>
        </w:trPr>
        <w:tc>
          <w:tcPr>
            <w:tcW w:type="dxa" w:w="2541"/>
            <w:tcMar>
              <w:top w:w="90" w:type="dxa"/>
              <w:start w:w="100" w:type="dxa"/>
              <w:bottom w:w="90" w:type="dxa"/>
              <w:end w:w="100" w:type="dxa"/>
            </w:tcMar>
            <w:vAlign w:val="top"/>
          </w:tcPr>
          <w:p>
            <w:pPr>
              <w:spacing w:after="30"/>
            </w:pPr>
            <w:r>
              <w:rPr>
                <w:rFonts w:ascii="Aptos" w:hAnsi="Aptos"/>
                <w:sz w:val="14"/>
              </w:rPr>
              <w:t>Third-Party Risk Management</w:t>
            </w:r>
          </w:p>
        </w:tc>
        <w:tc>
          <w:tcPr>
            <w:tcW w:type="dxa" w:w="2541"/>
            <w:tcMar>
              <w:top w:w="90" w:type="dxa"/>
              <w:start w:w="100" w:type="dxa"/>
              <w:bottom w:w="90" w:type="dxa"/>
              <w:end w:w="100" w:type="dxa"/>
            </w:tcMar>
            <w:vAlign w:val="top"/>
          </w:tcPr>
          <w:p>
            <w:pPr>
              <w:spacing w:after="30"/>
            </w:pPr>
            <w:r>
              <w:rPr>
                <w:rFonts w:ascii="Aptos" w:hAnsi="Aptos"/>
                <w:sz w:val="14"/>
              </w:rPr>
              <w:t>From $15,000</w:t>
            </w:r>
          </w:p>
        </w:tc>
        <w:tc>
          <w:tcPr>
            <w:tcW w:type="dxa" w:w="2541"/>
            <w:tcMar>
              <w:top w:w="90" w:type="dxa"/>
              <w:start w:w="100" w:type="dxa"/>
              <w:bottom w:w="90" w:type="dxa"/>
              <w:end w:w="100" w:type="dxa"/>
            </w:tcMar>
            <w:vAlign w:val="top"/>
          </w:tcPr>
          <w:p>
            <w:pPr>
              <w:spacing w:after="30"/>
            </w:pPr>
            <w:r>
              <w:rPr>
                <w:rFonts w:ascii="Aptos" w:hAnsi="Aptos"/>
                <w:sz w:val="14"/>
              </w:rPr>
              <w:t>From $25,000</w:t>
            </w:r>
          </w:p>
        </w:tc>
        <w:tc>
          <w:tcPr>
            <w:tcW w:type="dxa" w:w="2541"/>
            <w:tcMar>
              <w:top w:w="90" w:type="dxa"/>
              <w:start w:w="100" w:type="dxa"/>
              <w:bottom w:w="90" w:type="dxa"/>
              <w:end w:w="100" w:type="dxa"/>
            </w:tcMar>
            <w:vAlign w:val="top"/>
          </w:tcPr>
          <w:p>
            <w:pPr>
              <w:spacing w:after="30"/>
            </w:pPr>
            <w:r>
              <w:rPr>
                <w:rFonts w:ascii="Aptos" w:hAnsi="Aptos"/>
                <w:sz w:val="14"/>
              </w:rPr>
              <w:t>From $40,000</w:t>
            </w:r>
          </w:p>
        </w:tc>
      </w:tr>
      <w:tr>
        <w:trPr>
          <w:cantSplit/>
        </w:trPr>
        <w:tc>
          <w:tcPr>
            <w:tcW w:type="dxa" w:w="2541"/>
            <w:tcMar>
              <w:top w:w="90" w:type="dxa"/>
              <w:start w:w="100" w:type="dxa"/>
              <w:bottom w:w="90" w:type="dxa"/>
              <w:end w:w="100" w:type="dxa"/>
            </w:tcMar>
            <w:vAlign w:val="top"/>
          </w:tcPr>
          <w:p>
            <w:pPr>
              <w:spacing w:after="30"/>
            </w:pPr>
            <w:r>
              <w:rPr>
                <w:rFonts w:ascii="Aptos" w:hAnsi="Aptos"/>
                <w:sz w:val="14"/>
              </w:rPr>
              <w:t>Incident Response Planning</w:t>
            </w:r>
          </w:p>
        </w:tc>
        <w:tc>
          <w:tcPr>
            <w:tcW w:type="dxa" w:w="2541"/>
            <w:tcMar>
              <w:top w:w="90" w:type="dxa"/>
              <w:start w:w="100" w:type="dxa"/>
              <w:bottom w:w="90" w:type="dxa"/>
              <w:end w:w="100" w:type="dxa"/>
            </w:tcMar>
            <w:vAlign w:val="top"/>
          </w:tcPr>
          <w:p>
            <w:pPr>
              <w:spacing w:after="30"/>
            </w:pPr>
            <w:r>
              <w:rPr>
                <w:rFonts w:ascii="Aptos" w:hAnsi="Aptos"/>
                <w:sz w:val="14"/>
              </w:rPr>
              <w:t>From $7,500</w:t>
            </w:r>
          </w:p>
        </w:tc>
        <w:tc>
          <w:tcPr>
            <w:tcW w:type="dxa" w:w="2541"/>
            <w:tcMar>
              <w:top w:w="90" w:type="dxa"/>
              <w:start w:w="100" w:type="dxa"/>
              <w:bottom w:w="90" w:type="dxa"/>
              <w:end w:w="100" w:type="dxa"/>
            </w:tcMar>
            <w:vAlign w:val="top"/>
          </w:tcPr>
          <w:p>
            <w:pPr>
              <w:spacing w:after="30"/>
            </w:pPr>
            <w:r>
              <w:rPr>
                <w:rFonts w:ascii="Aptos" w:hAnsi="Aptos"/>
                <w:sz w:val="14"/>
              </w:rPr>
              <w:t>From $15,000</w:t>
            </w:r>
          </w:p>
        </w:tc>
        <w:tc>
          <w:tcPr>
            <w:tcW w:type="dxa" w:w="2541"/>
            <w:tcMar>
              <w:top w:w="90" w:type="dxa"/>
              <w:start w:w="100" w:type="dxa"/>
              <w:bottom w:w="90" w:type="dxa"/>
              <w:end w:w="100" w:type="dxa"/>
            </w:tcMar>
            <w:vAlign w:val="top"/>
          </w:tcPr>
          <w:p>
            <w:pPr>
              <w:spacing w:after="30"/>
            </w:pPr>
            <w:r>
              <w:rPr>
                <w:rFonts w:ascii="Aptos" w:hAnsi="Aptos"/>
                <w:sz w:val="14"/>
              </w:rPr>
              <w:t>From $25,000</w:t>
            </w:r>
          </w:p>
        </w:tc>
      </w:tr>
      <w:tr>
        <w:trPr>
          <w:cantSplit/>
        </w:trPr>
        <w:tc>
          <w:tcPr>
            <w:tcW w:type="dxa" w:w="2541"/>
            <w:tcMar>
              <w:top w:w="90" w:type="dxa"/>
              <w:start w:w="100" w:type="dxa"/>
              <w:bottom w:w="90" w:type="dxa"/>
              <w:end w:w="100" w:type="dxa"/>
            </w:tcMar>
            <w:vAlign w:val="top"/>
          </w:tcPr>
          <w:p>
            <w:pPr>
              <w:spacing w:after="30"/>
            </w:pPr>
            <w:r>
              <w:rPr>
                <w:rFonts w:ascii="Aptos" w:hAnsi="Aptos"/>
                <w:sz w:val="14"/>
              </w:rPr>
              <w:t>Cybersecurity Maturity Assessment</w:t>
            </w:r>
          </w:p>
        </w:tc>
        <w:tc>
          <w:tcPr>
            <w:tcW w:type="dxa" w:w="2541"/>
            <w:tcMar>
              <w:top w:w="90" w:type="dxa"/>
              <w:start w:w="100" w:type="dxa"/>
              <w:bottom w:w="90" w:type="dxa"/>
              <w:end w:w="100" w:type="dxa"/>
            </w:tcMar>
            <w:vAlign w:val="top"/>
          </w:tcPr>
          <w:p>
            <w:pPr>
              <w:spacing w:after="30"/>
            </w:pPr>
            <w:r>
              <w:rPr>
                <w:rFonts w:ascii="Aptos" w:hAnsi="Aptos"/>
                <w:sz w:val="14"/>
              </w:rPr>
              <w:t>$9,500 fixed</w:t>
            </w:r>
          </w:p>
        </w:tc>
        <w:tc>
          <w:tcPr>
            <w:tcW w:type="dxa" w:w="2541"/>
            <w:tcMar>
              <w:top w:w="90" w:type="dxa"/>
              <w:start w:w="100" w:type="dxa"/>
              <w:bottom w:w="90" w:type="dxa"/>
              <w:end w:w="100" w:type="dxa"/>
            </w:tcMar>
            <w:vAlign w:val="top"/>
          </w:tcPr>
          <w:p>
            <w:pPr>
              <w:spacing w:after="30"/>
            </w:pPr>
            <w:r>
              <w:rPr>
                <w:rFonts w:ascii="Aptos" w:hAnsi="Aptos"/>
                <w:sz w:val="14"/>
              </w:rPr>
              <w:t>From $15,000</w:t>
            </w:r>
          </w:p>
        </w:tc>
        <w:tc>
          <w:tcPr>
            <w:tcW w:type="dxa" w:w="2541"/>
            <w:tcMar>
              <w:top w:w="90" w:type="dxa"/>
              <w:start w:w="100" w:type="dxa"/>
              <w:bottom w:w="90" w:type="dxa"/>
              <w:end w:w="100" w:type="dxa"/>
            </w:tcMar>
            <w:vAlign w:val="top"/>
          </w:tcPr>
          <w:p>
            <w:pPr>
              <w:spacing w:after="30"/>
            </w:pPr>
            <w:r>
              <w:rPr>
                <w:rFonts w:ascii="Aptos" w:hAnsi="Aptos"/>
                <w:sz w:val="14"/>
              </w:rPr>
              <w:t>From $25,000</w:t>
            </w:r>
          </w:p>
        </w:tc>
      </w:tr>
      <w:tr>
        <w:trPr>
          <w:cantSplit/>
        </w:trPr>
        <w:tc>
          <w:tcPr>
            <w:tcW w:type="dxa" w:w="2541"/>
            <w:tcMar>
              <w:top w:w="90" w:type="dxa"/>
              <w:start w:w="100" w:type="dxa"/>
              <w:bottom w:w="90" w:type="dxa"/>
              <w:end w:w="100" w:type="dxa"/>
            </w:tcMar>
            <w:vAlign w:val="top"/>
          </w:tcPr>
          <w:p>
            <w:pPr>
              <w:spacing w:after="30"/>
            </w:pPr>
            <w:r>
              <w:rPr>
                <w:rFonts w:ascii="Aptos" w:hAnsi="Aptos"/>
                <w:sz w:val="14"/>
              </w:rPr>
              <w:t>Security for Startups</w:t>
            </w:r>
          </w:p>
        </w:tc>
        <w:tc>
          <w:tcPr>
            <w:tcW w:type="dxa" w:w="2541"/>
            <w:tcMar>
              <w:top w:w="90" w:type="dxa"/>
              <w:start w:w="100" w:type="dxa"/>
              <w:bottom w:w="90" w:type="dxa"/>
              <w:end w:w="100" w:type="dxa"/>
            </w:tcMar>
            <w:vAlign w:val="top"/>
          </w:tcPr>
          <w:p>
            <w:pPr>
              <w:spacing w:after="30"/>
            </w:pPr>
            <w:r>
              <w:rPr>
                <w:rFonts w:ascii="Aptos" w:hAnsi="Aptos"/>
                <w:sz w:val="14"/>
              </w:rPr>
              <w:t>From $5,000</w:t>
            </w:r>
          </w:p>
        </w:tc>
        <w:tc>
          <w:tcPr>
            <w:tcW w:type="dxa" w:w="2541"/>
            <w:tcMar>
              <w:top w:w="90" w:type="dxa"/>
              <w:start w:w="100" w:type="dxa"/>
              <w:bottom w:w="90" w:type="dxa"/>
              <w:end w:w="100" w:type="dxa"/>
            </w:tcMar>
            <w:vAlign w:val="top"/>
          </w:tcPr>
          <w:p>
            <w:pPr>
              <w:spacing w:after="30"/>
            </w:pPr>
            <w:r>
              <w:rPr>
                <w:rFonts w:ascii="Aptos" w:hAnsi="Aptos"/>
                <w:sz w:val="14"/>
              </w:rPr>
              <w:t>$9,500 fixed</w:t>
            </w:r>
          </w:p>
        </w:tc>
        <w:tc>
          <w:tcPr>
            <w:tcW w:type="dxa" w:w="2541"/>
            <w:tcMar>
              <w:top w:w="90" w:type="dxa"/>
              <w:start w:w="100" w:type="dxa"/>
              <w:bottom w:w="90" w:type="dxa"/>
              <w:end w:w="100" w:type="dxa"/>
            </w:tcMar>
            <w:vAlign w:val="top"/>
          </w:tcPr>
          <w:p>
            <w:pPr>
              <w:spacing w:after="30"/>
            </w:pPr>
            <w:r>
              <w:rPr>
                <w:rFonts w:ascii="Aptos" w:hAnsi="Aptos"/>
                <w:sz w:val="14"/>
              </w:rPr>
              <w:t>From $15,000</w:t>
            </w:r>
          </w:p>
        </w:tc>
      </w:tr>
      <w:tr>
        <w:trPr>
          <w:cantSplit/>
        </w:trPr>
        <w:tc>
          <w:tcPr>
            <w:tcW w:type="dxa" w:w="2541"/>
            <w:tcMar>
              <w:top w:w="90" w:type="dxa"/>
              <w:start w:w="100" w:type="dxa"/>
              <w:bottom w:w="90" w:type="dxa"/>
              <w:end w:w="100" w:type="dxa"/>
            </w:tcMar>
            <w:vAlign w:val="top"/>
          </w:tcPr>
          <w:p>
            <w:pPr>
              <w:spacing w:after="30"/>
            </w:pPr>
            <w:r>
              <w:rPr>
                <w:rFonts w:ascii="Aptos" w:hAnsi="Aptos"/>
                <w:sz w:val="14"/>
              </w:rPr>
              <w:t>Cloud Security Consulting</w:t>
            </w:r>
          </w:p>
        </w:tc>
        <w:tc>
          <w:tcPr>
            <w:tcW w:type="dxa" w:w="2541"/>
            <w:tcMar>
              <w:top w:w="90" w:type="dxa"/>
              <w:start w:w="100" w:type="dxa"/>
              <w:bottom w:w="90" w:type="dxa"/>
              <w:end w:w="100" w:type="dxa"/>
            </w:tcMar>
            <w:vAlign w:val="top"/>
          </w:tcPr>
          <w:p>
            <w:pPr>
              <w:spacing w:after="30"/>
            </w:pPr>
            <w:r>
              <w:rPr>
                <w:rFonts w:ascii="Aptos" w:hAnsi="Aptos"/>
                <w:sz w:val="14"/>
              </w:rPr>
              <w:t>From $7,500</w:t>
            </w:r>
          </w:p>
        </w:tc>
        <w:tc>
          <w:tcPr>
            <w:tcW w:type="dxa" w:w="2541"/>
            <w:tcMar>
              <w:top w:w="90" w:type="dxa"/>
              <w:start w:w="100" w:type="dxa"/>
              <w:bottom w:w="90" w:type="dxa"/>
              <w:end w:w="100" w:type="dxa"/>
            </w:tcMar>
            <w:vAlign w:val="top"/>
          </w:tcPr>
          <w:p>
            <w:pPr>
              <w:spacing w:after="30"/>
            </w:pPr>
            <w:r>
              <w:rPr>
                <w:rFonts w:ascii="Aptos" w:hAnsi="Aptos"/>
                <w:sz w:val="14"/>
              </w:rPr>
              <w:t>From $12,500</w:t>
            </w:r>
          </w:p>
        </w:tc>
        <w:tc>
          <w:tcPr>
            <w:tcW w:type="dxa" w:w="2541"/>
            <w:tcMar>
              <w:top w:w="90" w:type="dxa"/>
              <w:start w:w="100" w:type="dxa"/>
              <w:bottom w:w="90" w:type="dxa"/>
              <w:end w:w="100" w:type="dxa"/>
            </w:tcMar>
            <w:vAlign w:val="top"/>
          </w:tcPr>
          <w:p>
            <w:pPr>
              <w:spacing w:after="30"/>
            </w:pPr>
            <w:r>
              <w:rPr>
                <w:rFonts w:ascii="Aptos" w:hAnsi="Aptos"/>
                <w:sz w:val="14"/>
              </w:rPr>
              <w:t>From $20,000</w:t>
            </w:r>
          </w:p>
        </w:tc>
      </w:tr>
      <w:tr>
        <w:trPr>
          <w:cantSplit/>
        </w:trPr>
        <w:tc>
          <w:tcPr>
            <w:tcW w:type="dxa" w:w="2541"/>
            <w:tcMar>
              <w:top w:w="90" w:type="dxa"/>
              <w:start w:w="100" w:type="dxa"/>
              <w:bottom w:w="90" w:type="dxa"/>
              <w:end w:w="100" w:type="dxa"/>
            </w:tcMar>
            <w:vAlign w:val="top"/>
          </w:tcPr>
          <w:p>
            <w:pPr>
              <w:spacing w:after="30"/>
            </w:pPr>
            <w:r>
              <w:rPr>
                <w:rFonts w:ascii="Aptos" w:hAnsi="Aptos"/>
                <w:sz w:val="14"/>
              </w:rPr>
              <w:t>ISO 42001 Readiness</w:t>
            </w:r>
          </w:p>
        </w:tc>
        <w:tc>
          <w:tcPr>
            <w:tcW w:type="dxa" w:w="2541"/>
            <w:tcMar>
              <w:top w:w="90" w:type="dxa"/>
              <w:start w:w="100" w:type="dxa"/>
              <w:bottom w:w="90" w:type="dxa"/>
              <w:end w:w="100" w:type="dxa"/>
            </w:tcMar>
            <w:vAlign w:val="top"/>
          </w:tcPr>
          <w:p>
            <w:pPr>
              <w:spacing w:after="30"/>
            </w:pPr>
            <w:r>
              <w:rPr>
                <w:rFonts w:ascii="Aptos" w:hAnsi="Aptos"/>
                <w:sz w:val="14"/>
              </w:rPr>
              <w:t>From $15,000</w:t>
            </w:r>
          </w:p>
        </w:tc>
        <w:tc>
          <w:tcPr>
            <w:tcW w:type="dxa" w:w="2541"/>
            <w:tcMar>
              <w:top w:w="90" w:type="dxa"/>
              <w:start w:w="100" w:type="dxa"/>
              <w:bottom w:w="90" w:type="dxa"/>
              <w:end w:w="100" w:type="dxa"/>
            </w:tcMar>
            <w:vAlign w:val="top"/>
          </w:tcPr>
          <w:p>
            <w:pPr>
              <w:spacing w:after="30"/>
            </w:pPr>
            <w:r>
              <w:rPr>
                <w:rFonts w:ascii="Aptos" w:hAnsi="Aptos"/>
                <w:sz w:val="14"/>
              </w:rPr>
              <w:t>$30,000 fixed</w:t>
            </w:r>
          </w:p>
        </w:tc>
        <w:tc>
          <w:tcPr>
            <w:tcW w:type="dxa" w:w="2541"/>
            <w:tcMar>
              <w:top w:w="90" w:type="dxa"/>
              <w:start w:w="100" w:type="dxa"/>
              <w:bottom w:w="90" w:type="dxa"/>
              <w:end w:w="100" w:type="dxa"/>
            </w:tcMar>
            <w:vAlign w:val="top"/>
          </w:tcPr>
          <w:p>
            <w:pPr>
              <w:spacing w:after="30"/>
            </w:pPr>
            <w:r>
              <w:rPr>
                <w:rFonts w:ascii="Aptos" w:hAnsi="Aptos"/>
                <w:sz w:val="14"/>
              </w:rPr>
              <w:t>From $45,000</w:t>
            </w:r>
          </w:p>
        </w:tc>
      </w:tr>
      <w:tr>
        <w:trPr>
          <w:cantSplit/>
        </w:trPr>
        <w:tc>
          <w:tcPr>
            <w:tcW w:type="dxa" w:w="2541"/>
            <w:tcMar>
              <w:top w:w="90" w:type="dxa"/>
              <w:start w:w="100" w:type="dxa"/>
              <w:bottom w:w="90" w:type="dxa"/>
              <w:end w:w="100" w:type="dxa"/>
            </w:tcMar>
            <w:vAlign w:val="top"/>
          </w:tcPr>
          <w:p>
            <w:pPr>
              <w:spacing w:after="30"/>
            </w:pPr>
            <w:r>
              <w:rPr>
                <w:rFonts w:ascii="Aptos" w:hAnsi="Aptos"/>
                <w:sz w:val="14"/>
              </w:rPr>
              <w:t>EU AI Act Readiness</w:t>
            </w:r>
          </w:p>
        </w:tc>
        <w:tc>
          <w:tcPr>
            <w:tcW w:type="dxa" w:w="2541"/>
            <w:tcMar>
              <w:top w:w="90" w:type="dxa"/>
              <w:start w:w="100" w:type="dxa"/>
              <w:bottom w:w="90" w:type="dxa"/>
              <w:end w:w="100" w:type="dxa"/>
            </w:tcMar>
            <w:vAlign w:val="top"/>
          </w:tcPr>
          <w:p>
            <w:pPr>
              <w:spacing w:after="30"/>
            </w:pPr>
            <w:r>
              <w:rPr>
                <w:rFonts w:ascii="Aptos" w:hAnsi="Aptos"/>
                <w:sz w:val="14"/>
              </w:rPr>
              <w:t>$9,500 fixed</w:t>
            </w:r>
          </w:p>
        </w:tc>
        <w:tc>
          <w:tcPr>
            <w:tcW w:type="dxa" w:w="2541"/>
            <w:tcMar>
              <w:top w:w="90" w:type="dxa"/>
              <w:start w:w="100" w:type="dxa"/>
              <w:bottom w:w="90" w:type="dxa"/>
              <w:end w:w="100" w:type="dxa"/>
            </w:tcMar>
            <w:vAlign w:val="top"/>
          </w:tcPr>
          <w:p>
            <w:pPr>
              <w:spacing w:after="30"/>
            </w:pPr>
            <w:r>
              <w:rPr>
                <w:rFonts w:ascii="Aptos" w:hAnsi="Aptos"/>
                <w:sz w:val="14"/>
              </w:rPr>
              <w:t>From $15,000</w:t>
            </w:r>
          </w:p>
        </w:tc>
        <w:tc>
          <w:tcPr>
            <w:tcW w:type="dxa" w:w="2541"/>
            <w:tcMar>
              <w:top w:w="90" w:type="dxa"/>
              <w:start w:w="100" w:type="dxa"/>
              <w:bottom w:w="90" w:type="dxa"/>
              <w:end w:w="100" w:type="dxa"/>
            </w:tcMar>
            <w:vAlign w:val="top"/>
          </w:tcPr>
          <w:p>
            <w:pPr>
              <w:spacing w:after="30"/>
            </w:pPr>
            <w:r>
              <w:rPr>
                <w:rFonts w:ascii="Aptos" w:hAnsi="Aptos"/>
                <w:sz w:val="14"/>
              </w:rPr>
              <w:t>From $30,000</w:t>
            </w:r>
          </w:p>
        </w:tc>
      </w:tr>
      <w:tr>
        <w:trPr>
          <w:cantSplit/>
        </w:trPr>
        <w:tc>
          <w:tcPr>
            <w:tcW w:type="dxa" w:w="2541"/>
            <w:tcMar>
              <w:top w:w="90" w:type="dxa"/>
              <w:start w:w="100" w:type="dxa"/>
              <w:bottom w:w="90" w:type="dxa"/>
              <w:end w:w="100" w:type="dxa"/>
            </w:tcMar>
            <w:vAlign w:val="top"/>
          </w:tcPr>
          <w:p>
            <w:pPr>
              <w:spacing w:after="30"/>
            </w:pPr>
            <w:r>
              <w:rPr>
                <w:rFonts w:ascii="Aptos" w:hAnsi="Aptos"/>
                <w:sz w:val="14"/>
              </w:rPr>
              <w:t>NIST AI RMF Alignment</w:t>
            </w:r>
          </w:p>
        </w:tc>
        <w:tc>
          <w:tcPr>
            <w:tcW w:type="dxa" w:w="2541"/>
            <w:tcMar>
              <w:top w:w="90" w:type="dxa"/>
              <w:start w:w="100" w:type="dxa"/>
              <w:bottom w:w="90" w:type="dxa"/>
              <w:end w:w="100" w:type="dxa"/>
            </w:tcMar>
            <w:vAlign w:val="top"/>
          </w:tcPr>
          <w:p>
            <w:pPr>
              <w:spacing w:after="30"/>
            </w:pPr>
            <w:r>
              <w:rPr>
                <w:rFonts w:ascii="Aptos" w:hAnsi="Aptos"/>
                <w:sz w:val="14"/>
              </w:rPr>
              <w:t>$9,500 fixed</w:t>
            </w:r>
          </w:p>
        </w:tc>
        <w:tc>
          <w:tcPr>
            <w:tcW w:type="dxa" w:w="2541"/>
            <w:tcMar>
              <w:top w:w="90" w:type="dxa"/>
              <w:start w:w="100" w:type="dxa"/>
              <w:bottom w:w="90" w:type="dxa"/>
              <w:end w:w="100" w:type="dxa"/>
            </w:tcMar>
            <w:vAlign w:val="top"/>
          </w:tcPr>
          <w:p>
            <w:pPr>
              <w:spacing w:after="30"/>
            </w:pPr>
            <w:r>
              <w:rPr>
                <w:rFonts w:ascii="Aptos" w:hAnsi="Aptos"/>
                <w:sz w:val="14"/>
              </w:rPr>
              <w:t>From $18,000</w:t>
            </w:r>
          </w:p>
        </w:tc>
        <w:tc>
          <w:tcPr>
            <w:tcW w:type="dxa" w:w="2541"/>
            <w:tcMar>
              <w:top w:w="90" w:type="dxa"/>
              <w:start w:w="100" w:type="dxa"/>
              <w:bottom w:w="90" w:type="dxa"/>
              <w:end w:w="100" w:type="dxa"/>
            </w:tcMar>
            <w:vAlign w:val="top"/>
          </w:tcPr>
          <w:p>
            <w:pPr>
              <w:spacing w:after="30"/>
            </w:pPr>
            <w:r>
              <w:rPr>
                <w:rFonts w:ascii="Aptos" w:hAnsi="Aptos"/>
                <w:sz w:val="14"/>
              </w:rPr>
              <w:t>From $30,000</w:t>
            </w:r>
          </w:p>
        </w:tc>
      </w:tr>
      <w:tr>
        <w:trPr>
          <w:cantSplit/>
        </w:trPr>
        <w:tc>
          <w:tcPr>
            <w:tcW w:type="dxa" w:w="2541"/>
            <w:tcMar>
              <w:top w:w="90" w:type="dxa"/>
              <w:start w:w="100" w:type="dxa"/>
              <w:bottom w:w="90" w:type="dxa"/>
              <w:end w:w="100" w:type="dxa"/>
            </w:tcMar>
            <w:vAlign w:val="top"/>
          </w:tcPr>
          <w:p>
            <w:pPr>
              <w:spacing w:after="30"/>
            </w:pPr>
            <w:r>
              <w:rPr>
                <w:rFonts w:ascii="Aptos" w:hAnsi="Aptos"/>
                <w:sz w:val="14"/>
              </w:rPr>
              <w:t>The Governance Blueprint</w:t>
            </w:r>
          </w:p>
        </w:tc>
        <w:tc>
          <w:tcPr>
            <w:tcW w:type="dxa" w:w="2541"/>
            <w:tcMar>
              <w:top w:w="90" w:type="dxa"/>
              <w:start w:w="100" w:type="dxa"/>
              <w:bottom w:w="90" w:type="dxa"/>
              <w:end w:w="100" w:type="dxa"/>
            </w:tcMar>
            <w:vAlign w:val="top"/>
          </w:tcPr>
          <w:p>
            <w:pPr>
              <w:spacing w:after="30"/>
            </w:pPr>
            <w:r>
              <w:rPr>
                <w:rFonts w:ascii="Aptos" w:hAnsi="Aptos"/>
                <w:sz w:val="14"/>
              </w:rPr>
              <w:t>$9,500 fixed</w:t>
            </w:r>
          </w:p>
        </w:tc>
        <w:tc>
          <w:tcPr>
            <w:tcW w:type="dxa" w:w="2541"/>
            <w:tcMar>
              <w:top w:w="90" w:type="dxa"/>
              <w:start w:w="100" w:type="dxa"/>
              <w:bottom w:w="90" w:type="dxa"/>
              <w:end w:w="100" w:type="dxa"/>
            </w:tcMar>
            <w:vAlign w:val="top"/>
          </w:tcPr>
          <w:p>
            <w:pPr>
              <w:spacing w:after="30"/>
            </w:pPr>
            <w:r>
              <w:rPr>
                <w:rFonts w:ascii="Aptos" w:hAnsi="Aptos"/>
                <w:sz w:val="14"/>
              </w:rPr>
              <w:t>Fixed-price exception</w:t>
            </w:r>
          </w:p>
        </w:tc>
        <w:tc>
          <w:tcPr>
            <w:tcW w:type="dxa" w:w="2541"/>
            <w:tcMar>
              <w:top w:w="90" w:type="dxa"/>
              <w:start w:w="100" w:type="dxa"/>
              <w:bottom w:w="90" w:type="dxa"/>
              <w:end w:w="100" w:type="dxa"/>
            </w:tcMar>
            <w:vAlign w:val="top"/>
          </w:tcPr>
          <w:p>
            <w:pPr>
              <w:spacing w:after="30"/>
            </w:pPr>
            <w:r>
              <w:rPr>
                <w:rFonts w:ascii="Aptos" w:hAnsi="Aptos"/>
                <w:sz w:val="14"/>
              </w:rPr>
            </w:r>
          </w:p>
        </w:tc>
      </w:tr>
    </w:tbl>
    <w:p>
      <w:pPr>
        <w:pStyle w:val="Heading2"/>
      </w:pPr>
      <w:r>
        <w:t>Pricing disclosure</w:t>
      </w:r>
    </w:p>
    <w:p>
      <w:pPr>
        <w:pStyle w:val="ListBullet"/>
        <w:ind w:left="288" w:hanging="173"/>
      </w:pPr>
      <w:r>
        <w:t>Use 'From' or 'Starting at' where the price changes materially with scope. Use 'fixed' only where the approved standard scope supports a fixed amount.</w:t>
      </w:r>
    </w:p>
    <w:p>
      <w:pPr>
        <w:pStyle w:val="ListBullet"/>
        <w:ind w:left="288" w:hanging="173"/>
      </w:pPr>
      <w:r>
        <w:t>Do not expose internal hour budgets, capacity ceilings, or target utilization.</w:t>
      </w:r>
    </w:p>
    <w:p>
      <w:pPr>
        <w:pStyle w:val="ListBullet"/>
        <w:ind w:left="288" w:hanging="173"/>
      </w:pPr>
      <w:r>
        <w:t>Retainer pages may state a three-month initial term where commercially approved. Keep detailed billing milestones in proposals unless Cyvelle elects to publish them later.</w:t>
      </w:r>
    </w:p>
    <w:p>
      <w:pPr>
        <w:pStyle w:val="ListBullet"/>
        <w:ind w:left="288" w:hanging="173"/>
      </w:pPr>
      <w:r>
        <w:t>Each pricing card links to Book a 30-Minute Consultation.</w:t>
      </w:r>
    </w:p>
    <w:p>
      <w:pPr>
        <w:pStyle w:val="ListBullet"/>
        <w:ind w:left="288" w:hanging="173"/>
      </w:pPr>
      <w:r>
        <w:t>Add a small note under framework-readiness pricing: independent audit/certification/testing/legal/software/remediation/travel costs are separate where applicable.</w:t>
      </w:r>
    </w:p>
    <w:p>
      <w:pPr>
        <w:pStyle w:val="Heading1"/>
      </w:pPr>
      <w:r>
        <w:t>7. Reusable Service Page Template</w:t>
      </w:r>
    </w:p>
    <w:p>
      <w:r>
        <w:t>1. Hero</w:t>
      </w:r>
    </w:p>
    <w:p>
      <w:r>
        <w:t>2. Who This Is For</w:t>
      </w:r>
    </w:p>
    <w:p>
      <w:r>
        <w:t>3. What Brings Clients Here</w:t>
      </w:r>
    </w:p>
    <w:p>
      <w:r>
        <w:t>4. Why This Matters / What This Service Solves</w:t>
      </w:r>
    </w:p>
    <w:p>
      <w:r>
        <w:t>5. What Cyvelle Does</w:t>
      </w:r>
    </w:p>
    <w:p>
      <w:r>
        <w:t>6. What You Get</w:t>
      </w:r>
    </w:p>
    <w:p>
      <w:r>
        <w:t>7. How the Engagement Works</w:t>
      </w:r>
    </w:p>
    <w:p>
      <w:r>
        <w:t>8. Pricing</w:t>
      </w:r>
    </w:p>
    <w:p>
      <w:r>
        <w:t>9. What Changes, where present</w:t>
      </w:r>
    </w:p>
    <w:p>
      <w:r>
        <w:t>10. Important Scope Information</w:t>
      </w:r>
    </w:p>
    <w:p>
      <w:r>
        <w:t>11. Why Cyvelle</w:t>
      </w:r>
    </w:p>
    <w:p>
      <w:r>
        <w:t>12. Led by Temi founder module</w:t>
      </w:r>
    </w:p>
    <w:p>
      <w:r>
        <w:t>13. Frequently Asked Questions</w:t>
      </w:r>
    </w:p>
    <w:p>
      <w:r>
        <w:t>14. Related Intelligence and Related Services</w:t>
      </w:r>
    </w:p>
    <w:p>
      <w:r>
        <w:t>15. Final CTA</w:t>
      </w:r>
    </w:p>
    <w:p>
      <w:r>
        <w:t>16. Developer implementation notes</w:t>
      </w:r>
    </w:p>
    <w:p>
      <w:pPr>
        <w:pStyle w:val="Heading2"/>
      </w:pPr>
      <w:r>
        <w:t>Placement rule</w:t>
      </w:r>
    </w:p>
    <w:p>
      <w:r>
        <w:t>Pricing sits after How the Engagement Works. This means the buyer understands the work before the price. Important Scope Information stays after pricing and before Why Cyvelle / founder / FAQ, so independence boundaries remain visible without leading the sales narrative.</w:t>
      </w:r>
    </w:p>
    <w:p>
      <w:pPr>
        <w:pStyle w:val="Heading2"/>
      </w:pPr>
      <w:r>
        <w:t>What You Get</w:t>
      </w:r>
    </w:p>
    <w:p>
      <w:r>
        <w:t>Make this the strongest non-hero content block. Use real work products such as control matrices, evidence indexes, risk registers, Statements of Applicability, executive risk memos, remediation trackers, and operating roadmaps.</w:t>
      </w:r>
    </w:p>
    <w:p>
      <w:pPr>
        <w:pStyle w:val="Heading2"/>
      </w:pPr>
      <w:r>
        <w:t>Pricing component</w:t>
      </w:r>
    </w:p>
    <w:p>
      <w:pPr>
        <w:pStyle w:val="ListBullet"/>
        <w:ind w:left="288" w:hanging="173"/>
      </w:pPr>
      <w:r>
        <w:t>Desktop: three equal-width cards for all non-Blueprint services.</w:t>
      </w:r>
    </w:p>
    <w:p>
      <w:pPr>
        <w:pStyle w:val="ListBullet"/>
        <w:ind w:left="288" w:hanging="173"/>
      </w:pPr>
      <w:r>
        <w:t>Mobile: one card per row, preserving price, best-fit description, scope bullets, and CTA.</w:t>
      </w:r>
    </w:p>
    <w:p>
      <w:pPr>
        <w:pStyle w:val="ListBullet"/>
        <w:ind w:left="288" w:hanging="173"/>
      </w:pPr>
      <w:r>
        <w:t>Blueprint: one visually dominant fixed-price block at $9,500.</w:t>
      </w:r>
    </w:p>
    <w:p>
      <w:pPr>
        <w:pStyle w:val="ListBullet"/>
        <w:ind w:left="288" w:hanging="173"/>
      </w:pPr>
      <w:r>
        <w:t>Each card includes tier name, price, best fit, 3-5 scope distinctions, and Book a 30-Minute Consultation.</w:t>
      </w:r>
    </w:p>
    <w:p>
      <w:pPr>
        <w:pStyle w:val="ListBullet"/>
        <w:ind w:left="288" w:hanging="173"/>
      </w:pPr>
      <w:r>
        <w:t>Do not present pricing as an hourly bank.</w:t>
      </w:r>
    </w:p>
    <w:p>
      <w:pPr>
        <w:pStyle w:val="Heading1"/>
      </w:pPr>
      <w:r>
        <w:t>8. Scope and Independence Placement</w:t>
      </w:r>
    </w:p>
    <w:p>
      <w:pPr>
        <w:pStyle w:val="ListBullet"/>
        <w:ind w:left="288" w:hanging="173"/>
      </w:pPr>
      <w:r>
        <w:t>SOC 2: Cyvelle prepares the organization and coordinates handoff. An independent CPA firm performs the examination and issues the report.</w:t>
      </w:r>
    </w:p>
    <w:p>
      <w:pPr>
        <w:pStyle w:val="ListBullet"/>
        <w:ind w:left="288" w:hanging="173"/>
      </w:pPr>
      <w:r>
        <w:t>ISO 27001 and ISO 42001: Cyvelle designs and prepares the management system. An accredited certification body performs the certification audit and makes the certification decision.</w:t>
      </w:r>
    </w:p>
    <w:p>
      <w:pPr>
        <w:pStyle w:val="ListBullet"/>
        <w:ind w:left="288" w:hanging="173"/>
      </w:pPr>
      <w:r>
        <w:t>PCI DSS: Cyvelle provides readiness and advisory. Independent QSA-led assessment and validation remain separate.</w:t>
      </w:r>
    </w:p>
    <w:p>
      <w:pPr>
        <w:pStyle w:val="ListBullet"/>
        <w:ind w:left="288" w:hanging="173"/>
      </w:pPr>
      <w:r>
        <w:t>HITRUST: Cyvelle supports readiness and architecture. Validated assessments and certification decisions remain with Authorized External Assessors and HITRUST.</w:t>
      </w:r>
    </w:p>
    <w:p>
      <w:pPr>
        <w:pStyle w:val="ListBullet"/>
        <w:ind w:left="288" w:hanging="173"/>
      </w:pPr>
      <w:r>
        <w:t>CMMC: Cyvelle prepares the control and evidence baseline. Independent assessment and government decisions remain separate where required by the current program.</w:t>
      </w:r>
    </w:p>
    <w:p>
      <w:pPr>
        <w:pStyle w:val="ListBullet"/>
        <w:ind w:left="288" w:hanging="173"/>
      </w:pPr>
      <w:r>
        <w:t>NIS2 and EU AI Act: Cyvelle supports technical and governance readiness. Jurisdiction, legal applicability, formal classification, and legal interpretation remain with qualified counsel and authorities.</w:t>
      </w:r>
    </w:p>
    <w:p>
      <w:pPr>
        <w:pStyle w:val="ListBullet"/>
        <w:ind w:left="288" w:hanging="173"/>
      </w:pPr>
      <w:r>
        <w:t>NIST AI RMF: alignment is voluntary and is not a certification.</w:t>
      </w:r>
    </w:p>
    <w:p>
      <w:pPr>
        <w:pStyle w:val="Heading1"/>
      </w:pPr>
      <w:r>
        <w:t>9. About Page</w:t>
      </w:r>
    </w:p>
    <w:p>
      <w:r>
        <w:t>SEO title: About Cyvelle Consulting | Founder-Led GRC &amp; AI Governance Advisory</w:t>
      </w:r>
    </w:p>
    <w:p>
      <w:pPr>
        <w:pStyle w:val="Heading1"/>
      </w:pPr>
      <w:r>
        <w:t>Governance built by the person who does the work.</w:t>
      </w:r>
    </w:p>
    <w:p>
      <w:r>
        <w:t>Cyvelle Consulting was founded by Temi Oyawoye because organizations facing enterprise or regulatory pressure deserve direct access to someone who has built compliance programs and conducted audits and assessments, not only advised from the sidelines.</w:t>
      </w:r>
    </w:p>
    <w:p>
      <w:pPr>
        <w:pStyle w:val="Heading2"/>
      </w:pPr>
      <w:r>
        <w:t>About Temi</w:t>
      </w:r>
    </w:p>
    <w:p>
      <w:r>
        <w:t>Temi has spent more than two decades building compliance programs and leading audits across financial services, media and entertainment, healthcare, and technology. The experience is grounded in both sides of the work: designing programs that operate over time, and conducting the assessments and audits that test whether controls, evidence, ownership, and governance hold up in practice.</w:t>
      </w:r>
    </w:p>
    <w:p>
      <w:r>
        <w:t>Every Cyvelle engagement is led personally by Temi, from the first conversation through final delivery.</w:t>
      </w:r>
    </w:p>
    <w:p>
      <w:r>
        <w:t>CISA | CISM | CRISC | CDPSE | PCI-QSA | MSIS</w:t>
      </w:r>
    </w:p>
    <w:p>
      <w:pPr>
        <w:pStyle w:val="Heading2"/>
      </w:pPr>
      <w:r>
        <w:t>How Cyvelle works</w:t>
      </w:r>
    </w:p>
    <w:p>
      <w:r>
        <w:t>Cyvelle begins with what is already real: current obligations, systems, AI uses, controls, evidence, owners, known risks, and business decisions. The goal is to reuse what works, clarify what does not, and give leadership a credible sequence for action.</w:t>
      </w:r>
    </w:p>
    <w:p>
      <w:pPr>
        <w:pStyle w:val="Heading2"/>
      </w:pPr>
      <w:r>
        <w:t>Independence</w:t>
      </w:r>
    </w:p>
    <w:p>
      <w:r>
        <w:t>Cyvelle provides advisory, readiness, implementation support, coordination, and fractional leadership. Cyvelle does not perform independent audits, issue certifications, provide legal advice, or act as a penetration tester or assessor requiring separate independence or authorization.</w:t>
      </w:r>
    </w:p>
    <w:p>
      <w:hyperlink r:id="rId11">
        <w:r>
          <w:rPr>
            <w:color w:val="2563EB"/>
            <w:u w:val="single"/>
          </w:rPr>
          <w:t>Connect with Temi on LinkedIn</w:t>
        </w:r>
      </w:hyperlink>
    </w:p>
    <w:p>
      <w:pPr>
        <w:pStyle w:val="DeveloperNote"/>
      </w:pPr>
      <w:r>
        <w:t>CTA: Book a 30-Minute Consultation</w:t>
      </w:r>
    </w:p>
    <w:p>
      <w:pPr>
        <w:pStyle w:val="Heading1"/>
      </w:pPr>
      <w:r>
        <w:t>10. Contact Page</w:t>
      </w:r>
    </w:p>
    <w:p>
      <w:r>
        <w:t>SEO title: Contact Cyvelle Consulting | Book a 30-Minute Consultation</w:t>
      </w:r>
    </w:p>
    <w:p>
      <w:pPr>
        <w:pStyle w:val="Heading1"/>
      </w:pPr>
      <w:r>
        <w:t>Book a 30-Minute Consultation.</w:t>
      </w:r>
    </w:p>
    <w:p>
      <w:r>
        <w:t>Bring the business trigger, deadline, and current challenge. Temi will confirm whether Cyvelle is the right starting point and what the next decision should be.</w:t>
      </w:r>
    </w:p>
    <w:p>
      <w:pPr>
        <w:pStyle w:val="ListBullet"/>
        <w:ind w:left="288" w:hanging="173"/>
      </w:pPr>
      <w:r>
        <w:t>Name</w:t>
      </w:r>
    </w:p>
    <w:p>
      <w:pPr>
        <w:pStyle w:val="ListBullet"/>
        <w:ind w:left="288" w:hanging="173"/>
      </w:pPr>
      <w:r>
        <w:t>Work email</w:t>
      </w:r>
    </w:p>
    <w:p>
      <w:pPr>
        <w:pStyle w:val="ListBullet"/>
        <w:ind w:left="288" w:hanging="173"/>
      </w:pPr>
      <w:r>
        <w:t>Company</w:t>
      </w:r>
    </w:p>
    <w:p>
      <w:pPr>
        <w:pStyle w:val="ListBullet"/>
        <w:ind w:left="288" w:hanging="173"/>
      </w:pPr>
      <w:r>
        <w:t>Service of interest</w:t>
      </w:r>
    </w:p>
    <w:p>
      <w:pPr>
        <w:pStyle w:val="ListBullet"/>
        <w:ind w:left="288" w:hanging="173"/>
      </w:pPr>
      <w:r>
        <w:t>Message</w:t>
      </w:r>
    </w:p>
    <w:p>
      <w:pPr>
        <w:pStyle w:val="Heading1"/>
      </w:pPr>
      <w:r>
        <w:t>11. Intelligence and SEO</w:t>
      </w:r>
    </w:p>
    <w:p>
      <w:r>
        <w:t>Intelligence remains separate from About. The launch taxonomy is:</w:t>
      </w:r>
    </w:p>
    <w:p>
      <w:pPr>
        <w:pStyle w:val="ListBullet"/>
        <w:ind w:left="288" w:hanging="173"/>
      </w:pPr>
      <w:r>
        <w:t>Insights: evergreen buyer education and service-supporting articles.</w:t>
      </w:r>
    </w:p>
    <w:p>
      <w:pPr>
        <w:pStyle w:val="ListBullet"/>
        <w:ind w:left="288" w:hanging="173"/>
      </w:pPr>
      <w:r>
        <w:t>Regulatory &amp; Standards Radar: dated updates when regulatory dates, versions, enforcement, or official guidance changes.</w:t>
      </w:r>
    </w:p>
    <w:p>
      <w:pPr>
        <w:pStyle w:val="Heading2"/>
      </w:pPr>
      <w:r>
        <w:t>Priority clusters</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tcMar>
              <w:top w:w="90" w:type="dxa"/>
              <w:start w:w="100" w:type="dxa"/>
              <w:bottom w:w="90" w:type="dxa"/>
              <w:end w:w="100" w:type="dxa"/>
            </w:tcMar>
            <w:vAlign w:val="top"/>
            <w:shd w:fill="D9EAF7"/>
          </w:tcPr>
          <w:p>
            <w:pPr>
              <w:spacing w:after="30"/>
            </w:pPr>
            <w:r>
              <w:rPr>
                <w:rFonts w:ascii="Aptos" w:hAnsi="Aptos"/>
                <w:b/>
                <w:sz w:val="15"/>
              </w:rPr>
              <w:t>Cluster</w:t>
            </w:r>
          </w:p>
        </w:tc>
        <w:tc>
          <w:tcPr>
            <w:tcW w:type="dxa" w:w="8352"/>
            <w:tcMar>
              <w:top w:w="90" w:type="dxa"/>
              <w:start w:w="100" w:type="dxa"/>
              <w:bottom w:w="90" w:type="dxa"/>
              <w:end w:w="100" w:type="dxa"/>
            </w:tcMar>
            <w:vAlign w:val="top"/>
            <w:shd w:fill="D9EAF7"/>
          </w:tcPr>
          <w:p>
            <w:pPr>
              <w:spacing w:after="30"/>
            </w:pPr>
            <w:r>
              <w:rPr>
                <w:rFonts w:ascii="Aptos" w:hAnsi="Aptos"/>
                <w:b/>
                <w:sz w:val="15"/>
              </w:rPr>
              <w:t>Launch topics</w:t>
            </w:r>
          </w:p>
        </w:tc>
      </w:tr>
      <w:tr>
        <w:trPr>
          <w:cantSplit/>
        </w:trPr>
        <w:tc>
          <w:tcPr>
            <w:tcW w:type="dxa" w:w="2160"/>
            <w:tcMar>
              <w:top w:w="90" w:type="dxa"/>
              <w:start w:w="100" w:type="dxa"/>
              <w:bottom w:w="90" w:type="dxa"/>
              <w:end w:w="100" w:type="dxa"/>
            </w:tcMar>
            <w:vAlign w:val="top"/>
          </w:tcPr>
          <w:p>
            <w:pPr>
              <w:spacing w:after="30"/>
            </w:pPr>
            <w:r>
              <w:rPr>
                <w:rFonts w:ascii="Aptos" w:hAnsi="Aptos"/>
                <w:sz w:val="15"/>
              </w:rPr>
              <w:t>SOC 2</w:t>
            </w:r>
          </w:p>
        </w:tc>
        <w:tc>
          <w:tcPr>
            <w:tcW w:type="dxa" w:w="8352"/>
            <w:tcMar>
              <w:top w:w="90" w:type="dxa"/>
              <w:start w:w="100" w:type="dxa"/>
              <w:bottom w:w="90" w:type="dxa"/>
              <w:end w:w="100" w:type="dxa"/>
            </w:tcMar>
            <w:vAlign w:val="top"/>
          </w:tcPr>
          <w:p>
            <w:pPr>
              <w:spacing w:after="30"/>
            </w:pPr>
            <w:r>
              <w:rPr>
                <w:rFonts w:ascii="Aptos" w:hAnsi="Aptos"/>
                <w:sz w:val="15"/>
              </w:rPr>
              <w:t>Type I vs Type II; what auditors test; SaaS scoping; readiness mistakes.</w:t>
            </w:r>
          </w:p>
        </w:tc>
      </w:tr>
      <w:tr>
        <w:trPr>
          <w:cantSplit/>
        </w:trPr>
        <w:tc>
          <w:tcPr>
            <w:tcW w:type="dxa" w:w="2160"/>
            <w:tcMar>
              <w:top w:w="90" w:type="dxa"/>
              <w:start w:w="100" w:type="dxa"/>
              <w:bottom w:w="90" w:type="dxa"/>
              <w:end w:w="100" w:type="dxa"/>
            </w:tcMar>
            <w:vAlign w:val="top"/>
          </w:tcPr>
          <w:p>
            <w:pPr>
              <w:spacing w:after="30"/>
            </w:pPr>
            <w:r>
              <w:rPr>
                <w:rFonts w:ascii="Aptos" w:hAnsi="Aptos"/>
                <w:sz w:val="15"/>
              </w:rPr>
              <w:t>ISO 27001</w:t>
            </w:r>
          </w:p>
        </w:tc>
        <w:tc>
          <w:tcPr>
            <w:tcW w:type="dxa" w:w="8352"/>
            <w:tcMar>
              <w:top w:w="90" w:type="dxa"/>
              <w:start w:w="100" w:type="dxa"/>
              <w:bottom w:w="90" w:type="dxa"/>
              <w:end w:w="100" w:type="dxa"/>
            </w:tcMar>
            <w:vAlign w:val="top"/>
          </w:tcPr>
          <w:p>
            <w:pPr>
              <w:spacing w:after="30"/>
            </w:pPr>
            <w:r>
              <w:rPr>
                <w:rFonts w:ascii="Aptos" w:hAnsi="Aptos"/>
                <w:sz w:val="15"/>
              </w:rPr>
              <w:t>What auditors look for; Annex A vs Statement of Applicability; ISMS scope; ISO 27001 vs SOC 2.</w:t>
            </w:r>
          </w:p>
        </w:tc>
      </w:tr>
      <w:tr>
        <w:trPr>
          <w:cantSplit/>
        </w:trPr>
        <w:tc>
          <w:tcPr>
            <w:tcW w:type="dxa" w:w="2160"/>
            <w:tcMar>
              <w:top w:w="90" w:type="dxa"/>
              <w:start w:w="100" w:type="dxa"/>
              <w:bottom w:w="90" w:type="dxa"/>
              <w:end w:w="100" w:type="dxa"/>
            </w:tcMar>
            <w:vAlign w:val="top"/>
          </w:tcPr>
          <w:p>
            <w:pPr>
              <w:spacing w:after="30"/>
            </w:pPr>
            <w:r>
              <w:rPr>
                <w:rFonts w:ascii="Aptos" w:hAnsi="Aptos"/>
                <w:sz w:val="15"/>
              </w:rPr>
              <w:t>PCI DSS</w:t>
            </w:r>
          </w:p>
        </w:tc>
        <w:tc>
          <w:tcPr>
            <w:tcW w:type="dxa" w:w="8352"/>
            <w:tcMar>
              <w:top w:w="90" w:type="dxa"/>
              <w:start w:w="100" w:type="dxa"/>
              <w:bottom w:w="90" w:type="dxa"/>
              <w:end w:w="100" w:type="dxa"/>
            </w:tcMar>
            <w:vAlign w:val="top"/>
          </w:tcPr>
          <w:p>
            <w:pPr>
              <w:spacing w:after="30"/>
            </w:pPr>
            <w:r>
              <w:rPr>
                <w:rFonts w:ascii="Aptos" w:hAnsi="Aptos"/>
                <w:sz w:val="15"/>
              </w:rPr>
              <w:t>Scope and segmentation mistakes; PCI DSS v4.x changes; QSA review preparation.</w:t>
            </w:r>
          </w:p>
        </w:tc>
      </w:tr>
      <w:tr>
        <w:trPr>
          <w:cantSplit/>
        </w:trPr>
        <w:tc>
          <w:tcPr>
            <w:tcW w:type="dxa" w:w="2160"/>
            <w:tcMar>
              <w:top w:w="90" w:type="dxa"/>
              <w:start w:w="100" w:type="dxa"/>
              <w:bottom w:w="90" w:type="dxa"/>
              <w:end w:w="100" w:type="dxa"/>
            </w:tcMar>
            <w:vAlign w:val="top"/>
          </w:tcPr>
          <w:p>
            <w:pPr>
              <w:spacing w:after="30"/>
            </w:pPr>
            <w:r>
              <w:rPr>
                <w:rFonts w:ascii="Aptos" w:hAnsi="Aptos"/>
                <w:sz w:val="15"/>
              </w:rPr>
              <w:t>HIPAA / HITRUST</w:t>
            </w:r>
          </w:p>
        </w:tc>
        <w:tc>
          <w:tcPr>
            <w:tcW w:type="dxa" w:w="8352"/>
            <w:tcMar>
              <w:top w:w="90" w:type="dxa"/>
              <w:start w:w="100" w:type="dxa"/>
              <w:bottom w:w="90" w:type="dxa"/>
              <w:end w:w="100" w:type="dxa"/>
            </w:tcMar>
            <w:vAlign w:val="top"/>
          </w:tcPr>
          <w:p>
            <w:pPr>
              <w:spacing w:after="30"/>
            </w:pPr>
            <w:r>
              <w:rPr>
                <w:rFonts w:ascii="Aptos" w:hAnsi="Aptos"/>
                <w:sz w:val="15"/>
              </w:rPr>
              <w:t>HIPAA risk analysis vs audit; what HITRUST adds; reuse across frameworks.</w:t>
            </w:r>
          </w:p>
        </w:tc>
      </w:tr>
      <w:tr>
        <w:trPr>
          <w:cantSplit/>
        </w:trPr>
        <w:tc>
          <w:tcPr>
            <w:tcW w:type="dxa" w:w="2160"/>
            <w:tcMar>
              <w:top w:w="90" w:type="dxa"/>
              <w:start w:w="100" w:type="dxa"/>
              <w:bottom w:w="90" w:type="dxa"/>
              <w:end w:w="100" w:type="dxa"/>
            </w:tcMar>
            <w:vAlign w:val="top"/>
          </w:tcPr>
          <w:p>
            <w:pPr>
              <w:spacing w:after="30"/>
            </w:pPr>
            <w:r>
              <w:rPr>
                <w:rFonts w:ascii="Aptos" w:hAnsi="Aptos"/>
                <w:sz w:val="15"/>
              </w:rPr>
              <w:t>CMMC / Defense</w:t>
            </w:r>
          </w:p>
        </w:tc>
        <w:tc>
          <w:tcPr>
            <w:tcW w:type="dxa" w:w="8352"/>
            <w:tcMar>
              <w:top w:w="90" w:type="dxa"/>
              <w:start w:w="100" w:type="dxa"/>
              <w:bottom w:w="90" w:type="dxa"/>
              <w:end w:w="100" w:type="dxa"/>
            </w:tcMar>
            <w:vAlign w:val="top"/>
          </w:tcPr>
          <w:p>
            <w:pPr>
              <w:spacing w:after="30"/>
            </w:pPr>
            <w:r>
              <w:rPr>
                <w:rFonts w:ascii="Aptos" w:hAnsi="Aptos"/>
                <w:sz w:val="15"/>
              </w:rPr>
              <w:t>Current CMMC program status; NIST 800-171 evidence; contract-specific readiness.</w:t>
            </w:r>
          </w:p>
        </w:tc>
      </w:tr>
      <w:tr>
        <w:trPr>
          <w:cantSplit/>
        </w:trPr>
        <w:tc>
          <w:tcPr>
            <w:tcW w:type="dxa" w:w="2160"/>
            <w:tcMar>
              <w:top w:w="90" w:type="dxa"/>
              <w:start w:w="100" w:type="dxa"/>
              <w:bottom w:w="90" w:type="dxa"/>
              <w:end w:w="100" w:type="dxa"/>
            </w:tcMar>
            <w:vAlign w:val="top"/>
          </w:tcPr>
          <w:p>
            <w:pPr>
              <w:spacing w:after="30"/>
            </w:pPr>
            <w:r>
              <w:rPr>
                <w:rFonts w:ascii="Aptos" w:hAnsi="Aptos"/>
                <w:sz w:val="15"/>
              </w:rPr>
              <w:t>NIS2</w:t>
            </w:r>
          </w:p>
        </w:tc>
        <w:tc>
          <w:tcPr>
            <w:tcW w:type="dxa" w:w="8352"/>
            <w:tcMar>
              <w:top w:w="90" w:type="dxa"/>
              <w:start w:w="100" w:type="dxa"/>
              <w:bottom w:w="90" w:type="dxa"/>
              <w:end w:w="100" w:type="dxa"/>
            </w:tcMar>
            <w:vAlign w:val="top"/>
          </w:tcPr>
          <w:p>
            <w:pPr>
              <w:spacing w:after="30"/>
            </w:pPr>
            <w:r>
              <w:rPr>
                <w:rFonts w:ascii="Aptos" w:hAnsi="Aptos"/>
                <w:sz w:val="15"/>
              </w:rPr>
              <w:t>Non-EU-headquartered exposure; Member State transposition; ISO 27001 overlap.</w:t>
            </w:r>
          </w:p>
        </w:tc>
      </w:tr>
      <w:tr>
        <w:trPr>
          <w:cantSplit/>
        </w:trPr>
        <w:tc>
          <w:tcPr>
            <w:tcW w:type="dxa" w:w="2160"/>
            <w:tcMar>
              <w:top w:w="90" w:type="dxa"/>
              <w:start w:w="100" w:type="dxa"/>
              <w:bottom w:w="90" w:type="dxa"/>
              <w:end w:w="100" w:type="dxa"/>
            </w:tcMar>
            <w:vAlign w:val="top"/>
          </w:tcPr>
          <w:p>
            <w:pPr>
              <w:spacing w:after="30"/>
            </w:pPr>
            <w:r>
              <w:rPr>
                <w:rFonts w:ascii="Aptos" w:hAnsi="Aptos"/>
                <w:sz w:val="15"/>
              </w:rPr>
              <w:t>Leadership</w:t>
            </w:r>
          </w:p>
        </w:tc>
        <w:tc>
          <w:tcPr>
            <w:tcW w:type="dxa" w:w="8352"/>
            <w:tcMar>
              <w:top w:w="90" w:type="dxa"/>
              <w:start w:w="100" w:type="dxa"/>
              <w:bottom w:w="90" w:type="dxa"/>
              <w:end w:w="100" w:type="dxa"/>
            </w:tcMar>
            <w:vAlign w:val="top"/>
          </w:tcPr>
          <w:p>
            <w:pPr>
              <w:spacing w:after="30"/>
            </w:pPr>
            <w:r>
              <w:rPr>
                <w:rFonts w:ascii="Aptos" w:hAnsi="Aptos"/>
                <w:sz w:val="15"/>
              </w:rPr>
              <w:t>Virtual vs full-time CISO; choosing Virtual CISO, Part-Time CISO, or Fractional Compliance Officer.</w:t>
            </w:r>
          </w:p>
        </w:tc>
      </w:tr>
      <w:tr>
        <w:trPr>
          <w:cantSplit/>
        </w:trPr>
        <w:tc>
          <w:tcPr>
            <w:tcW w:type="dxa" w:w="2160"/>
            <w:tcMar>
              <w:top w:w="90" w:type="dxa"/>
              <w:start w:w="100" w:type="dxa"/>
              <w:bottom w:w="90" w:type="dxa"/>
              <w:end w:w="100" w:type="dxa"/>
            </w:tcMar>
            <w:vAlign w:val="top"/>
          </w:tcPr>
          <w:p>
            <w:pPr>
              <w:spacing w:after="30"/>
            </w:pPr>
            <w:r>
              <w:rPr>
                <w:rFonts w:ascii="Aptos" w:hAnsi="Aptos"/>
                <w:sz w:val="15"/>
              </w:rPr>
              <w:t>Risk &amp; Resilience</w:t>
            </w:r>
          </w:p>
        </w:tc>
        <w:tc>
          <w:tcPr>
            <w:tcW w:type="dxa" w:w="8352"/>
            <w:tcMar>
              <w:top w:w="90" w:type="dxa"/>
              <w:start w:w="100" w:type="dxa"/>
              <w:bottom w:w="90" w:type="dxa"/>
              <w:end w:w="100" w:type="dxa"/>
            </w:tcMar>
            <w:vAlign w:val="top"/>
          </w:tcPr>
          <w:p>
            <w:pPr>
              <w:spacing w:after="30"/>
            </w:pPr>
            <w:r>
              <w:rPr>
                <w:rFonts w:ascii="Aptos" w:hAnsi="Aptos"/>
                <w:sz w:val="15"/>
              </w:rPr>
              <w:t>SOC 2 reports for vendor risk; incident plans; board maturity reporting; practical TPRM.</w:t>
            </w:r>
          </w:p>
        </w:tc>
      </w:tr>
      <w:tr>
        <w:trPr>
          <w:cantSplit/>
        </w:trPr>
        <w:tc>
          <w:tcPr>
            <w:tcW w:type="dxa" w:w="2160"/>
            <w:tcMar>
              <w:top w:w="90" w:type="dxa"/>
              <w:start w:w="100" w:type="dxa"/>
              <w:bottom w:w="90" w:type="dxa"/>
              <w:end w:w="100" w:type="dxa"/>
            </w:tcMar>
            <w:vAlign w:val="top"/>
          </w:tcPr>
          <w:p>
            <w:pPr>
              <w:spacing w:after="30"/>
            </w:pPr>
            <w:r>
              <w:rPr>
                <w:rFonts w:ascii="Aptos" w:hAnsi="Aptos"/>
                <w:sz w:val="15"/>
              </w:rPr>
              <w:t>Startup / Cloud</w:t>
            </w:r>
          </w:p>
        </w:tc>
        <w:tc>
          <w:tcPr>
            <w:tcW w:type="dxa" w:w="8352"/>
            <w:tcMar>
              <w:top w:w="90" w:type="dxa"/>
              <w:start w:w="100" w:type="dxa"/>
              <w:bottom w:w="90" w:type="dxa"/>
              <w:end w:w="100" w:type="dxa"/>
            </w:tcMar>
            <w:vAlign w:val="top"/>
          </w:tcPr>
          <w:p>
            <w:pPr>
              <w:spacing w:after="30"/>
            </w:pPr>
            <w:r>
              <w:rPr>
                <w:rFonts w:ascii="Aptos" w:hAnsi="Aptos"/>
                <w:sz w:val="15"/>
              </w:rPr>
              <w:t>Buyer security questions; cloud security misconfigurations; when to adopt a formal framework.</w:t>
            </w:r>
          </w:p>
        </w:tc>
      </w:tr>
      <w:tr>
        <w:trPr>
          <w:cantSplit/>
        </w:trPr>
        <w:tc>
          <w:tcPr>
            <w:tcW w:type="dxa" w:w="2160"/>
            <w:tcMar>
              <w:top w:w="90" w:type="dxa"/>
              <w:start w:w="100" w:type="dxa"/>
              <w:bottom w:w="90" w:type="dxa"/>
              <w:end w:w="100" w:type="dxa"/>
            </w:tcMar>
            <w:vAlign w:val="top"/>
          </w:tcPr>
          <w:p>
            <w:pPr>
              <w:spacing w:after="30"/>
            </w:pPr>
            <w:r>
              <w:rPr>
                <w:rFonts w:ascii="Aptos" w:hAnsi="Aptos"/>
                <w:sz w:val="15"/>
              </w:rPr>
              <w:t>AI Governance</w:t>
            </w:r>
          </w:p>
        </w:tc>
        <w:tc>
          <w:tcPr>
            <w:tcW w:type="dxa" w:w="8352"/>
            <w:tcMar>
              <w:top w:w="90" w:type="dxa"/>
              <w:start w:w="100" w:type="dxa"/>
              <w:bottom w:w="90" w:type="dxa"/>
              <w:end w:w="100" w:type="dxa"/>
            </w:tcMar>
            <w:vAlign w:val="top"/>
          </w:tcPr>
          <w:p>
            <w:pPr>
              <w:spacing w:after="30"/>
            </w:pPr>
            <w:r>
              <w:rPr>
                <w:rFonts w:ascii="Aptos" w:hAnsi="Aptos"/>
                <w:sz w:val="15"/>
              </w:rPr>
              <w:t>ISO 42001 practice; AI inventory; EU AI Act obligations; NIST AI RMF alignment.</w:t>
            </w:r>
          </w:p>
        </w:tc>
      </w:tr>
    </w:tbl>
    <w:p>
      <w:pPr>
        <w:pStyle w:val="Heading2"/>
      </w:pPr>
      <w:r>
        <w:t>Internal linking</w:t>
      </w:r>
    </w:p>
    <w:p>
      <w:pPr>
        <w:pStyle w:val="ListBullet"/>
        <w:ind w:left="288" w:hanging="173"/>
      </w:pPr>
      <w:r>
        <w:t>Every service page links to its parent hub, The Governance Blueprint when needs overlap, 3-4 adjacent services, 2-4 relevant Intelligence items once live, About via founder module, and Contact through the primary CTA.</w:t>
      </w:r>
    </w:p>
    <w:p>
      <w:pPr>
        <w:pStyle w:val="ListBullet"/>
        <w:ind w:left="288" w:hanging="173"/>
      </w:pPr>
      <w:r>
        <w:t>Every Intelligence article links to its primary service page, one adjacent service or hub, and The Governance Blueprint where the topic commonly intersects several obligations.</w:t>
      </w:r>
    </w:p>
    <w:p>
      <w:pPr>
        <w:pStyle w:val="ListBullet"/>
        <w:ind w:left="288" w:hanging="173"/>
      </w:pPr>
      <w:r>
        <w:t>Hide Related Intelligence on a service page until at least two relevant items are live.</w:t>
      </w:r>
    </w:p>
    <w:p>
      <w:pPr>
        <w:pStyle w:val="Heading2"/>
      </w:pPr>
      <w:r>
        <w:t>Schema and technical rules</w:t>
      </w:r>
    </w:p>
    <w:p>
      <w:pPr>
        <w:pStyle w:val="ListBullet"/>
        <w:ind w:left="288" w:hanging="173"/>
      </w:pPr>
      <w:r>
        <w:t>Organization schema on Home and About.</w:t>
      </w:r>
    </w:p>
    <w:p>
      <w:pPr>
        <w:pStyle w:val="ListBullet"/>
        <w:ind w:left="288" w:hanging="173"/>
      </w:pPr>
      <w:r>
        <w:t>Person schema for Temi Oyawoye on About, with LinkedIn in sameAs.</w:t>
      </w:r>
    </w:p>
    <w:p>
      <w:pPr>
        <w:pStyle w:val="ListBullet"/>
        <w:ind w:left="288" w:hanging="173"/>
      </w:pPr>
      <w:r>
        <w:t>Service schema on each individual service page.</w:t>
      </w:r>
    </w:p>
    <w:p>
      <w:pPr>
        <w:pStyle w:val="ListBullet"/>
        <w:ind w:left="288" w:hanging="173"/>
      </w:pPr>
      <w:r>
        <w:t>FAQPage schema only when FAQs are visible and current search-engine eligibility supports it.</w:t>
      </w:r>
    </w:p>
    <w:p>
      <w:pPr>
        <w:pStyle w:val="ListBullet"/>
        <w:ind w:left="288" w:hanging="173"/>
      </w:pPr>
      <w:r>
        <w:t>BlogPosting or Article schema on Intelligence articles.</w:t>
      </w:r>
    </w:p>
    <w:p>
      <w:pPr>
        <w:pStyle w:val="ListBullet"/>
        <w:ind w:left="288" w:hanging="173"/>
      </w:pPr>
      <w:r>
        <w:t>BreadcrumbList on category and service pages.</w:t>
      </w:r>
    </w:p>
    <w:p>
      <w:pPr>
        <w:pStyle w:val="ListBullet"/>
        <w:ind w:left="288" w:hanging="173"/>
      </w:pPr>
      <w:r>
        <w:t>One H1 per page. Descriptive H2s. Canonical URLs. Breadcrumbs. Add every public page, including /pricing, to XML sitemaps.</w:t>
      </w:r>
    </w:p>
    <w:p>
      <w:pPr>
        <w:pStyle w:val="Heading1"/>
      </w:pPr>
      <w:r>
        <w:t>12. Current Regulatory Copy Overrides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440"/>
            <w:tcMar>
              <w:top w:w="90" w:type="dxa"/>
              <w:start w:w="100" w:type="dxa"/>
              <w:bottom w:w="90" w:type="dxa"/>
              <w:end w:w="100" w:type="dxa"/>
            </w:tcMar>
            <w:vAlign w:val="top"/>
            <w:shd w:fill="D9EAF7"/>
          </w:tcPr>
          <w:p>
            <w:pPr>
              <w:spacing w:after="30"/>
            </w:pPr>
            <w:r>
              <w:rPr>
                <w:rFonts w:ascii="Aptos" w:hAnsi="Aptos"/>
                <w:b/>
                <w:sz w:val="15"/>
              </w:rPr>
              <w:t>Page</w:t>
            </w:r>
          </w:p>
        </w:tc>
        <w:tc>
          <w:tcPr>
            <w:tcW w:type="dxa" w:w="3456"/>
            <w:tcMar>
              <w:top w:w="90" w:type="dxa"/>
              <w:start w:w="100" w:type="dxa"/>
              <w:bottom w:w="90" w:type="dxa"/>
              <w:end w:w="100" w:type="dxa"/>
            </w:tcMar>
            <w:vAlign w:val="top"/>
            <w:shd w:fill="D9EAF7"/>
          </w:tcPr>
          <w:p>
            <w:pPr>
              <w:spacing w:after="30"/>
            </w:pPr>
            <w:r>
              <w:rPr>
                <w:rFonts w:ascii="Aptos" w:hAnsi="Aptos"/>
                <w:b/>
                <w:sz w:val="15"/>
              </w:rPr>
              <w:t>Do not ship</w:t>
            </w:r>
          </w:p>
        </w:tc>
        <w:tc>
          <w:tcPr>
            <w:tcW w:type="dxa" w:w="5616"/>
            <w:tcMar>
              <w:top w:w="90" w:type="dxa"/>
              <w:start w:w="100" w:type="dxa"/>
              <w:bottom w:w="90" w:type="dxa"/>
              <w:end w:w="100" w:type="dxa"/>
            </w:tcMar>
            <w:vAlign w:val="top"/>
            <w:shd w:fill="D9EAF7"/>
          </w:tcPr>
          <w:p>
            <w:pPr>
              <w:spacing w:after="30"/>
            </w:pPr>
            <w:r>
              <w:rPr>
                <w:rFonts w:ascii="Aptos" w:hAnsi="Aptos"/>
                <w:b/>
                <w:sz w:val="15"/>
              </w:rPr>
              <w:t>Approved evergreen direction</w:t>
            </w:r>
          </w:p>
        </w:tc>
      </w:tr>
      <w:tr>
        <w:trPr>
          <w:cantSplit/>
        </w:trPr>
        <w:tc>
          <w:tcPr>
            <w:tcW w:type="dxa" w:w="1440"/>
            <w:tcMar>
              <w:top w:w="90" w:type="dxa"/>
              <w:start w:w="100" w:type="dxa"/>
              <w:bottom w:w="90" w:type="dxa"/>
              <w:end w:w="100" w:type="dxa"/>
            </w:tcMar>
            <w:vAlign w:val="top"/>
          </w:tcPr>
          <w:p>
            <w:pPr>
              <w:spacing w:after="30"/>
            </w:pPr>
            <w:r>
              <w:rPr>
                <w:rFonts w:ascii="Aptos" w:hAnsi="Aptos"/>
                <w:sz w:val="15"/>
              </w:rPr>
              <w:t>CMMC</w:t>
            </w:r>
          </w:p>
        </w:tc>
        <w:tc>
          <w:tcPr>
            <w:tcW w:type="dxa" w:w="3456"/>
            <w:tcMar>
              <w:top w:w="90" w:type="dxa"/>
              <w:start w:w="100" w:type="dxa"/>
              <w:bottom w:w="90" w:type="dxa"/>
              <w:end w:w="100" w:type="dxa"/>
            </w:tcMar>
            <w:vAlign w:val="top"/>
          </w:tcPr>
          <w:p>
            <w:pPr>
              <w:spacing w:after="30"/>
            </w:pPr>
            <w:r>
              <w:rPr>
                <w:rFonts w:ascii="Aptos" w:hAnsi="Aptos"/>
                <w:sz w:val="15"/>
              </w:rPr>
              <w:t>Prepare for CMMC certification before it appears in your contracts.</w:t>
            </w:r>
          </w:p>
        </w:tc>
        <w:tc>
          <w:tcPr>
            <w:tcW w:type="dxa" w:w="5616"/>
            <w:tcMar>
              <w:top w:w="90" w:type="dxa"/>
              <w:start w:w="100" w:type="dxa"/>
              <w:bottom w:w="90" w:type="dxa"/>
              <w:end w:w="100" w:type="dxa"/>
            </w:tcMar>
            <w:vAlign w:val="top"/>
          </w:tcPr>
          <w:p>
            <w:pPr>
              <w:spacing w:after="30"/>
            </w:pPr>
            <w:r>
              <w:rPr>
                <w:rFonts w:ascii="Aptos" w:hAnsi="Aptos"/>
                <w:sz w:val="15"/>
              </w:rPr>
              <w:t>Build a defensible CMMC and NIST 800-171 readiness baseline. State that Phase II was suspended in July 2026 while Phase I self-assessment remains. Keep future rollout dates in the Regulatory &amp; Standards Radar.</w:t>
            </w:r>
          </w:p>
        </w:tc>
      </w:tr>
      <w:tr>
        <w:trPr>
          <w:cantSplit/>
        </w:trPr>
        <w:tc>
          <w:tcPr>
            <w:tcW w:type="dxa" w:w="1440"/>
            <w:tcMar>
              <w:top w:w="90" w:type="dxa"/>
              <w:start w:w="100" w:type="dxa"/>
              <w:bottom w:w="90" w:type="dxa"/>
              <w:end w:w="100" w:type="dxa"/>
            </w:tcMar>
            <w:vAlign w:val="top"/>
          </w:tcPr>
          <w:p>
            <w:pPr>
              <w:spacing w:after="30"/>
            </w:pPr>
            <w:r>
              <w:rPr>
                <w:rFonts w:ascii="Aptos" w:hAnsi="Aptos"/>
                <w:sz w:val="15"/>
              </w:rPr>
              <w:t>EU AI Act</w:t>
            </w:r>
          </w:p>
        </w:tc>
        <w:tc>
          <w:tcPr>
            <w:tcW w:type="dxa" w:w="3456"/>
            <w:tcMar>
              <w:top w:w="90" w:type="dxa"/>
              <w:start w:w="100" w:type="dxa"/>
              <w:bottom w:w="90" w:type="dxa"/>
              <w:end w:w="100" w:type="dxa"/>
            </w:tcMar>
            <w:vAlign w:val="top"/>
          </w:tcPr>
          <w:p>
            <w:pPr>
              <w:spacing w:after="30"/>
            </w:pPr>
            <w:r>
              <w:rPr>
                <w:rFonts w:ascii="Aptos" w:hAnsi="Aptos"/>
                <w:sz w:val="15"/>
              </w:rPr>
              <w:t>Understand your exposure before enforcement reaches you.</w:t>
            </w:r>
          </w:p>
        </w:tc>
        <w:tc>
          <w:tcPr>
            <w:tcW w:type="dxa" w:w="5616"/>
            <w:tcMar>
              <w:top w:w="90" w:type="dxa"/>
              <w:start w:w="100" w:type="dxa"/>
              <w:bottom w:w="90" w:type="dxa"/>
              <w:end w:w="100" w:type="dxa"/>
            </w:tcMar>
            <w:vAlign w:val="top"/>
          </w:tcPr>
          <w:p>
            <w:pPr>
              <w:spacing w:after="30"/>
            </w:pPr>
            <w:r>
              <w:rPr>
                <w:rFonts w:ascii="Aptos" w:hAnsi="Aptos"/>
                <w:sz w:val="15"/>
              </w:rPr>
              <w:t>Enforcement and Article 50 transparency obligations began on 2 August 2026. Use present-tense readiness language and route legal interpretation to qualified counsel.</w:t>
            </w:r>
          </w:p>
        </w:tc>
      </w:tr>
      <w:tr>
        <w:trPr>
          <w:cantSplit/>
        </w:trPr>
        <w:tc>
          <w:tcPr>
            <w:tcW w:type="dxa" w:w="1440"/>
            <w:tcMar>
              <w:top w:w="90" w:type="dxa"/>
              <w:start w:w="100" w:type="dxa"/>
              <w:bottom w:w="90" w:type="dxa"/>
              <w:end w:w="100" w:type="dxa"/>
            </w:tcMar>
            <w:vAlign w:val="top"/>
          </w:tcPr>
          <w:p>
            <w:pPr>
              <w:spacing w:after="30"/>
            </w:pPr>
            <w:r>
              <w:rPr>
                <w:rFonts w:ascii="Aptos" w:hAnsi="Aptos"/>
                <w:sz w:val="15"/>
              </w:rPr>
              <w:t>NIS2</w:t>
            </w:r>
          </w:p>
        </w:tc>
        <w:tc>
          <w:tcPr>
            <w:tcW w:type="dxa" w:w="3456"/>
            <w:tcMar>
              <w:top w:w="90" w:type="dxa"/>
              <w:start w:w="100" w:type="dxa"/>
              <w:bottom w:w="90" w:type="dxa"/>
              <w:end w:w="100" w:type="dxa"/>
            </w:tcMar>
            <w:vAlign w:val="top"/>
          </w:tcPr>
          <w:p>
            <w:pPr>
              <w:spacing w:after="30"/>
            </w:pPr>
            <w:r>
              <w:rPr>
                <w:rFonts w:ascii="Aptos" w:hAnsi="Aptos"/>
                <w:sz w:val="15"/>
              </w:rPr>
              <w:t>A single EU-wide applicability statement without jurisdiction caveats.</w:t>
            </w:r>
          </w:p>
        </w:tc>
        <w:tc>
          <w:tcPr>
            <w:tcW w:type="dxa" w:w="5616"/>
            <w:tcMar>
              <w:top w:w="90" w:type="dxa"/>
              <w:start w:w="100" w:type="dxa"/>
              <w:bottom w:w="90" w:type="dxa"/>
              <w:end w:w="100" w:type="dxa"/>
            </w:tcMar>
            <w:vAlign w:val="top"/>
          </w:tcPr>
          <w:p>
            <w:pPr>
              <w:spacing w:after="30"/>
            </w:pPr>
            <w:r>
              <w:rPr>
                <w:rFonts w:ascii="Aptos" w:hAnsi="Aptos"/>
                <w:sz w:val="15"/>
              </w:rPr>
              <w:t>State that NIS2 is transposed into national law and Member State status differs. Counsel confirms jurisdiction, applicability, entity classification, and legal interpretation.</w:t>
            </w:r>
          </w:p>
        </w:tc>
      </w:tr>
    </w:tbl>
    <w:p>
      <w:pPr>
        <w:pStyle w:val="Heading1"/>
      </w:pPr>
      <w:r>
        <w:t>13. Final Build QA Checklist</w:t>
      </w:r>
    </w:p>
    <w:p>
      <w:pPr>
        <w:pStyle w:val="ListBullet"/>
        <w:ind w:left="288" w:hanging="173"/>
      </w:pPr>
      <w:r>
        <w:t>All 20 individual service pages are built from the supplied full transcripts, not the earlier stubs.</w:t>
      </w:r>
    </w:p>
    <w:p>
      <w:pPr>
        <w:pStyle w:val="ListBullet"/>
        <w:ind w:left="288" w:hanging="173"/>
      </w:pPr>
      <w:r>
        <w:t>Every service page except The Governance Blueprint contains three public pricing cards.</w:t>
      </w:r>
    </w:p>
    <w:p>
      <w:pPr>
        <w:pStyle w:val="ListBullet"/>
        <w:ind w:left="288" w:hanging="173"/>
      </w:pPr>
      <w:r>
        <w:t>The Governance Blueprint shows $9,500 fixed and a four-week standard delivery calendar.</w:t>
      </w:r>
    </w:p>
    <w:p>
      <w:pPr>
        <w:pStyle w:val="ListBullet"/>
        <w:ind w:left="288" w:hanging="173"/>
      </w:pPr>
      <w:r>
        <w:t>No internal hour guardrails or capacity rules appear publicly.</w:t>
      </w:r>
    </w:p>
    <w:p>
      <w:pPr>
        <w:pStyle w:val="ListBullet"/>
        <w:ind w:left="288" w:hanging="173"/>
      </w:pPr>
      <w:r>
        <w:t>Primary CTA is Book a 30-Minute Consultation sitewide.</w:t>
      </w:r>
    </w:p>
    <w:p>
      <w:pPr>
        <w:pStyle w:val="ListBullet"/>
        <w:ind w:left="288" w:hanging="173"/>
      </w:pPr>
      <w:r>
        <w:t>What You Get is visually stronger than framework explanation.</w:t>
      </w:r>
    </w:p>
    <w:p>
      <w:pPr>
        <w:pStyle w:val="ListBullet"/>
        <w:ind w:left="288" w:hanging="173"/>
      </w:pPr>
      <w:r>
        <w:t>Scope and independence language appears after process/pricing and before founder/FAQ.</w:t>
      </w:r>
    </w:p>
    <w:p>
      <w:pPr>
        <w:pStyle w:val="ListBullet"/>
        <w:ind w:left="288" w:hanging="173"/>
      </w:pPr>
      <w:r>
        <w:t>Temi's founder module states 20+ years and links to LinkedIn.</w:t>
      </w:r>
    </w:p>
    <w:p>
      <w:pPr>
        <w:pStyle w:val="ListBullet"/>
        <w:ind w:left="288" w:hanging="173"/>
      </w:pPr>
      <w:r>
        <w:t>About and Intelligence remain distinct.</w:t>
      </w:r>
    </w:p>
    <w:p>
      <w:pPr>
        <w:pStyle w:val="ListBullet"/>
        <w:ind w:left="288" w:hanging="173"/>
      </w:pPr>
      <w:r>
        <w:t>CMMC, EU AI Act, and NIS2 copy reflects current August 2026 status.</w:t>
      </w:r>
    </w:p>
    <w:p>
      <w:pPr>
        <w:pStyle w:val="ListBullet"/>
        <w:ind w:left="288" w:hanging="173"/>
      </w:pPr>
      <w:r>
        <w:t>Every pricing card is mobile-readable and links to the same consultation route.</w:t>
      </w:r>
    </w:p>
    <w:p>
      <w:pPr>
        <w:pStyle w:val="ListBullet"/>
        <w:ind w:left="288" w:hanging="173"/>
      </w:pPr>
      <w:r>
        <w:t>All third-party assurance fees are clearly separate where applicable.</w:t>
      </w:r>
    </w:p>
    <w:p>
      <w:pPr>
        <w:pStyle w:val="ListBullet"/>
        <w:ind w:left="288" w:hanging="173"/>
      </w:pPr>
      <w:r>
        <w:t>No unsupported pass rates, client counts, testimonials, logos, guarantees, or quantified outcomes are introduced.</w:t>
      </w:r>
    </w:p>
    <w:p>
      <w:pPr>
        <w:pStyle w:val="Heading2"/>
      </w:pPr>
      <w:r>
        <w:t>Research source register</w:t>
      </w:r>
    </w:p>
    <w:p>
      <w:pPr>
        <w:pStyle w:val="ListBullet"/>
        <w:ind w:left="288" w:hanging="173"/>
      </w:pPr>
      <w:r>
        <w:t>Cyvelle Pricing, Scope &amp; Delivery Guide, 22 August 2026.</w:t>
      </w:r>
    </w:p>
    <w:p>
      <w:pPr>
        <w:pStyle w:val="ListBullet"/>
        <w:ind w:left="288" w:hanging="173"/>
      </w:pPr>
      <w:r>
        <w:t>Atlant Security, Virtual CISO Services, updated July 2026: https://atlantsecurity.com/virtual-ciso-services</w:t>
      </w:r>
    </w:p>
    <w:p>
      <w:pPr>
        <w:pStyle w:val="ListBullet"/>
        <w:ind w:left="288" w:hanging="173"/>
      </w:pPr>
      <w:r>
        <w:t>Atlant Security, SOC 2 Readiness: https://atlantsecurity.com/soc2-readiness</w:t>
      </w:r>
    </w:p>
    <w:p>
      <w:pPr>
        <w:pStyle w:val="ListBullet"/>
        <w:ind w:left="288" w:hanging="173"/>
      </w:pPr>
      <w:r>
        <w:t>Atlant Security, ISO 27001 Readiness: https://atlantsecurity.com/iso-27001-readiness</w:t>
      </w:r>
    </w:p>
    <w:p>
      <w:pPr>
        <w:pStyle w:val="ListBullet"/>
        <w:ind w:left="288" w:hanging="173"/>
      </w:pPr>
      <w:r>
        <w:t>Atlant Security, HIPAA Compliance: https://atlantsecurity.com/hipaa</w:t>
      </w:r>
    </w:p>
    <w:p>
      <w:pPr>
        <w:pStyle w:val="ListBullet"/>
        <w:ind w:left="288" w:hanging="173"/>
      </w:pPr>
      <w:r>
        <w:t>Atlant Security, HITRUST Readiness: https://atlantsecurity.com/hitrust-preparedness</w:t>
      </w:r>
    </w:p>
    <w:p>
      <w:pPr>
        <w:pStyle w:val="ListBullet"/>
        <w:ind w:left="288" w:hanging="173"/>
      </w:pPr>
      <w:r>
        <w:t>Atlant Security, CMMC Readiness: https://atlantsecurity.com/cmmc-certification</w:t>
      </w:r>
    </w:p>
    <w:p>
      <w:pPr>
        <w:pStyle w:val="ListBullet"/>
        <w:ind w:left="288" w:hanging="173"/>
      </w:pPr>
      <w:r>
        <w:t>Atlant Security, Cloud Security Consulting: https://atlantsecurity.com/cloud-security-consulting</w:t>
      </w:r>
    </w:p>
    <w:p>
      <w:pPr>
        <w:pStyle w:val="ListBullet"/>
        <w:ind w:left="288" w:hanging="173"/>
      </w:pPr>
      <w:r>
        <w:t>Atlant Security, Cybersecurity Maturity Assessment: https://atlantsecurity.com/cybersecurity-maturity-assessment/</w:t>
      </w:r>
    </w:p>
    <w:p>
      <w:pPr>
        <w:pStyle w:val="ListBullet"/>
        <w:ind w:left="288" w:hanging="173"/>
      </w:pPr>
      <w:r>
        <w:t>Axora Tech Lab, public compliance and Vendor Risk pricing: https://www.axoratechlab.com/pricing</w:t>
      </w:r>
    </w:p>
    <w:p>
      <w:pPr>
        <w:pStyle w:val="ListBullet"/>
        <w:ind w:left="288" w:hanging="173"/>
      </w:pPr>
      <w:r>
        <w:t>Dartkite, Cybersecurity Tabletop pricing: https://www.dartkite.com/</w:t>
      </w:r>
    </w:p>
    <w:p>
      <w:pPr>
        <w:pStyle w:val="ListBullet"/>
        <w:ind w:left="288" w:hanging="173"/>
      </w:pPr>
      <w:r>
        <w:t>RSM, Responsible AI Governance 6-week assessment, Microsoft Marketplace: https://marketplace.microsoft.com/en-us/marketplace/consulting-services/rsmproductsalesllc1604685958273.aigovernance6wkassessment</w:t>
      </w:r>
    </w:p>
    <w:p>
      <w:pPr>
        <w:pStyle w:val="ListBullet"/>
        <w:ind w:left="288" w:hanging="173"/>
      </w:pPr>
      <w:r>
        <w:t>EthicaLogic, EU AI Act Readiness Assessment: https://ethicalogic.com/ai-governance-compliance-services/eu-ai-act-readiness-assessment/</w:t>
      </w:r>
    </w:p>
    <w:p>
      <w:pPr>
        <w:pStyle w:val="ListBullet"/>
        <w:ind w:left="288" w:hanging="173"/>
      </w:pPr>
      <w:r>
        <w:t>NIS2Compass, NIS2 consultant cost comparison: https://nis2compass.de/en/blog/nis2-consultant-or-diy-cost-comparison</w:t>
      </w:r>
    </w:p>
    <w:p>
      <w:pPr>
        <w:pStyle w:val="ListBullet"/>
        <w:ind w:left="288" w:hanging="173"/>
      </w:pPr>
      <w:r>
        <w:t>U.S. DoD CIO / CMMC resources: https://dodcio.defense.gov/CMMC/Resources-Documentation/</w:t>
      </w:r>
    </w:p>
    <w:p>
      <w:pPr>
        <w:pStyle w:val="ListBullet"/>
        <w:ind w:left="288" w:hanging="173"/>
      </w:pPr>
      <w:r>
        <w:t>European Commission, AI Act enforcement from 2 August 2026: https://digital-strategy.ec.europa.eu/en/news/commission-starts-enforcing-ai-act-rules-and-new-transparency-requirements-2-august</w:t>
      </w:r>
    </w:p>
    <w:p>
      <w:pPr>
        <w:pStyle w:val="ListBullet"/>
        <w:ind w:left="288" w:hanging="173"/>
      </w:pPr>
      <w:r>
        <w:t>European Commission, NIS2 transposition status: https://digital-strategy.ec.europa.eu/en/policies/nis-transposition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4"/>
      </w:rPr>
      <w:t>Developer implementation document  |  28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96969"/>
        <w:sz w:val="15"/>
      </w:rPr>
      <w:t>CYVELLE CONSULTING  |  DEVELOPER BUILD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veloperNote">
    <w:name w:val="Developer Note"/>
    <w:pPr>
      <w:spacing w:after="80"/>
    </w:pPr>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inkedin.com/in/temioyawoy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