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CISO</w:t>
      </w:r>
    </w:p>
    <w:p>
      <w:pPr>
        <w:spacing w:after="200"/>
      </w:pPr>
      <w:r>
        <w:rPr>
          <w:i/>
          <w:color w:val="505050"/>
        </w:rPr>
        <w:t>Developer-ready service page transcript | Source: Final Service Transcript Pack, Volume 1</w:t>
      </w:r>
    </w:p>
    <w:tbl>
      <w:tblPr>
        <w:tblW w:type="auto" w:w="0"/>
        <w:jc w:val="center"/>
        <w:tblLook w:firstColumn="1" w:firstRow="1" w:lastColumn="0" w:lastRow="0" w:noHBand="0" w:noVBand="1" w:val="04A0"/>
      </w:tblPr>
      <w:tblGrid>
        <w:gridCol w:w="10166"/>
      </w:tblGrid>
      <w:tr>
        <w:trPr>
          <w:cantSplit/>
          <w:tblHeader w:val="true"/>
        </w:trPr>
        <w:tc>
          <w:tcPr>
            <w:tcW w:type="dxa" w:w="10166"/>
            <w:shd w:fill="EAF2F8"/>
            <w:tcMar>
              <w:top w:w="120" w:type="dxa"/>
              <w:start w:w="140" w:type="dxa"/>
              <w:bottom w:w="120" w:type="dxa"/>
              <w:end w:w="140" w:type="dxa"/>
            </w:tcMar>
          </w:tcPr>
          <w:p>
            <w:r>
              <w:rPr>
                <w:b/>
                <w:color w:val="17365D"/>
              </w:rPr>
              <w:t>Build status</w:t>
            </w:r>
          </w:p>
          <w:p>
            <w:pPr>
              <w:spacing w:after="0"/>
            </w:pPr>
            <w:r>
              <w:t>This version supersedes earlier no-pricing instructions. Public pricing is approved. Use the pricing section below on this service page. The Governance Blueprint is the sole single-price exception.</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016"/>
            <w:tcMar>
              <w:top w:w="90" w:type="dxa"/>
              <w:start w:w="100" w:type="dxa"/>
              <w:bottom w:w="90" w:type="dxa"/>
              <w:end w:w="100" w:type="dxa"/>
            </w:tcMar>
            <w:vAlign w:val="top"/>
            <w:shd w:fill="D9EAF7"/>
          </w:tcPr>
          <w:p>
            <w:pPr>
              <w:spacing w:after="30"/>
            </w:pPr>
            <w:r>
              <w:rPr>
                <w:rFonts w:ascii="Aptos" w:hAnsi="Aptos"/>
                <w:b/>
                <w:sz w:val="16"/>
              </w:rPr>
              <w:t>Build field</w:t>
            </w:r>
          </w:p>
        </w:tc>
        <w:tc>
          <w:tcPr>
            <w:tcW w:type="dxa" w:w="8496"/>
            <w:tcMar>
              <w:top w:w="90" w:type="dxa"/>
              <w:start w:w="100" w:type="dxa"/>
              <w:bottom w:w="90" w:type="dxa"/>
              <w:end w:w="100" w:type="dxa"/>
            </w:tcMar>
            <w:vAlign w:val="top"/>
            <w:shd w:fill="D9EAF7"/>
          </w:tcPr>
          <w:p>
            <w:pPr>
              <w:spacing w:after="30"/>
            </w:pPr>
            <w:r>
              <w:rPr>
                <w:rFonts w:ascii="Aptos" w:hAnsi="Aptos"/>
                <w:b/>
                <w:sz w:val="16"/>
              </w:rPr>
              <w:t>Approved value</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Page name</w:t>
            </w:r>
          </w:p>
        </w:tc>
        <w:tc>
          <w:tcPr>
            <w:tcW w:type="dxa" w:w="8496"/>
            <w:tcMar>
              <w:top w:w="90" w:type="dxa"/>
              <w:start w:w="100" w:type="dxa"/>
              <w:bottom w:w="90" w:type="dxa"/>
              <w:end w:w="100" w:type="dxa"/>
            </w:tcMar>
            <w:vAlign w:val="top"/>
          </w:tcPr>
          <w:p>
            <w:pPr>
              <w:spacing w:after="30"/>
            </w:pPr>
            <w:r>
              <w:rPr>
                <w:rFonts w:ascii="Aptos" w:hAnsi="Aptos"/>
                <w:sz w:val="16"/>
              </w:rPr>
              <w:t>Virtual CISO</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URL</w:t>
            </w:r>
          </w:p>
        </w:tc>
        <w:tc>
          <w:tcPr>
            <w:tcW w:type="dxa" w:w="8496"/>
            <w:tcMar>
              <w:top w:w="90" w:type="dxa"/>
              <w:start w:w="100" w:type="dxa"/>
              <w:bottom w:w="90" w:type="dxa"/>
              <w:end w:w="100" w:type="dxa"/>
            </w:tcMar>
            <w:vAlign w:val="top"/>
          </w:tcPr>
          <w:p>
            <w:pPr>
              <w:spacing w:after="30"/>
            </w:pPr>
            <w:r>
              <w:rPr>
                <w:rFonts w:ascii="Aptos" w:hAnsi="Aptos"/>
                <w:sz w:val="16"/>
              </w:rPr>
              <w:t>/services/leadership/virtual-ciso</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SEO title</w:t>
            </w:r>
          </w:p>
        </w:tc>
        <w:tc>
          <w:tcPr>
            <w:tcW w:type="dxa" w:w="8496"/>
            <w:tcMar>
              <w:top w:w="90" w:type="dxa"/>
              <w:start w:w="100" w:type="dxa"/>
              <w:bottom w:w="90" w:type="dxa"/>
              <w:end w:w="100" w:type="dxa"/>
            </w:tcMar>
            <w:vAlign w:val="top"/>
          </w:tcPr>
          <w:p>
            <w:pPr>
              <w:spacing w:after="30"/>
            </w:pPr>
            <w:r>
              <w:rPr>
                <w:rFonts w:ascii="Aptos" w:hAnsi="Aptos"/>
                <w:sz w:val="16"/>
              </w:rPr>
              <w:t>Virtual CISO Services for Growing Companies | Cyvelle</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Meta description</w:t>
            </w:r>
          </w:p>
        </w:tc>
        <w:tc>
          <w:tcPr>
            <w:tcW w:type="dxa" w:w="8496"/>
            <w:tcMar>
              <w:top w:w="90" w:type="dxa"/>
              <w:start w:w="100" w:type="dxa"/>
              <w:bottom w:w="90" w:type="dxa"/>
              <w:end w:w="100" w:type="dxa"/>
            </w:tcMar>
            <w:vAlign w:val="top"/>
          </w:tcPr>
          <w:p>
            <w:pPr>
              <w:spacing w:after="30"/>
            </w:pPr>
            <w:r>
              <w:rPr>
                <w:rFonts w:ascii="Aptos" w:hAnsi="Aptos"/>
                <w:sz w:val="16"/>
              </w:rPr>
              <w:t>Founder-led virtual CISO leadership for growing organizations that need security strategy, risk oversight, executive reporting, and compliance direction.</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Primary keyword</w:t>
            </w:r>
          </w:p>
        </w:tc>
        <w:tc>
          <w:tcPr>
            <w:tcW w:type="dxa" w:w="8496"/>
            <w:tcMar>
              <w:top w:w="90" w:type="dxa"/>
              <w:start w:w="100" w:type="dxa"/>
              <w:bottom w:w="90" w:type="dxa"/>
              <w:end w:w="100" w:type="dxa"/>
            </w:tcMar>
            <w:vAlign w:val="top"/>
          </w:tcPr>
          <w:p>
            <w:pPr>
              <w:spacing w:after="30"/>
            </w:pPr>
            <w:r>
              <w:rPr>
                <w:rFonts w:ascii="Aptos" w:hAnsi="Aptos"/>
                <w:sz w:val="16"/>
              </w:rPr>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Secondary keywords</w:t>
            </w:r>
          </w:p>
        </w:tc>
        <w:tc>
          <w:tcPr>
            <w:tcW w:type="dxa" w:w="8496"/>
            <w:tcMar>
              <w:top w:w="90" w:type="dxa"/>
              <w:start w:w="100" w:type="dxa"/>
              <w:bottom w:w="90" w:type="dxa"/>
              <w:end w:w="100" w:type="dxa"/>
            </w:tcMar>
            <w:vAlign w:val="top"/>
          </w:tcPr>
          <w:p>
            <w:pPr>
              <w:spacing w:after="30"/>
            </w:pPr>
            <w:r>
              <w:rPr>
                <w:rFonts w:ascii="Aptos" w:hAnsi="Aptos"/>
                <w:sz w:val="16"/>
              </w:rPr>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Breadcrumb</w:t>
            </w:r>
          </w:p>
        </w:tc>
        <w:tc>
          <w:tcPr>
            <w:tcW w:type="dxa" w:w="8496"/>
            <w:tcMar>
              <w:top w:w="90" w:type="dxa"/>
              <w:start w:w="100" w:type="dxa"/>
              <w:bottom w:w="90" w:type="dxa"/>
              <w:end w:w="100" w:type="dxa"/>
            </w:tcMar>
            <w:vAlign w:val="top"/>
          </w:tcPr>
          <w:p>
            <w:pPr>
              <w:spacing w:after="30"/>
            </w:pPr>
            <w:r>
              <w:rPr>
                <w:rFonts w:ascii="Aptos" w:hAnsi="Aptos"/>
                <w:sz w:val="16"/>
              </w:rPr>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Primary CTA</w:t>
            </w:r>
          </w:p>
        </w:tc>
        <w:tc>
          <w:tcPr>
            <w:tcW w:type="dxa" w:w="8496"/>
            <w:tcMar>
              <w:top w:w="90" w:type="dxa"/>
              <w:start w:w="100" w:type="dxa"/>
              <w:bottom w:w="90" w:type="dxa"/>
              <w:end w:w="100" w:type="dxa"/>
            </w:tcMar>
            <w:vAlign w:val="top"/>
          </w:tcPr>
          <w:p>
            <w:pPr>
              <w:spacing w:after="30"/>
            </w:pPr>
            <w:r>
              <w:rPr>
                <w:rFonts w:ascii="Aptos" w:hAnsi="Aptos"/>
                <w:sz w:val="16"/>
              </w:rPr>
              <w:t>Book a 30-Minute Consultation</w:t>
            </w:r>
          </w:p>
        </w:tc>
      </w:tr>
    </w:tbl>
    <w:p>
      <w:pPr>
        <w:pStyle w:val="Heading1"/>
      </w:pPr>
      <w:r>
        <w:t>Public Page Transcript</w:t>
      </w:r>
    </w:p>
    <w:p>
      <w:pPr>
        <w:pStyle w:val="Heading2"/>
      </w:pPr>
      <w:r>
        <w:t>Hero</w:t>
      </w:r>
    </w:p>
    <w:p>
      <w:r>
        <w:t>Virtual CISO (vCISO)</w:t>
      </w:r>
    </w:p>
    <w:p>
      <w:r>
        <w:t>Executive security leadership without waiting for a full-time CISO hire.</w:t>
      </w:r>
    </w:p>
    <w:p>
      <w:r>
        <w:t>Cyvelle provides founder-led vCISO support for organizations that need a clear security strategy, accountable risk decisions, and credible reporting to customers, auditors, executives, and the board. The work connects security priorities to business growth, regulatory obligations, and available resources.</w:t>
      </w:r>
    </w:p>
    <w:p>
      <w:r>
        <w:rPr>
          <w:b/>
          <w:color w:val="1F4E79"/>
        </w:rPr>
        <w:t>Book a 30-Minute Consultation</w:t>
      </w:r>
    </w:p>
    <w:p>
      <w:pPr>
        <w:pStyle w:val="DeveloperNote"/>
      </w:pPr>
      <w:r>
        <w:t>Secondary link: See what the engagement includes</w:t>
      </w:r>
    </w:p>
    <w:p>
      <w:pPr>
        <w:pStyle w:val="Heading2"/>
      </w:pPr>
      <w:r>
        <w:t>Who this is for</w:t>
      </w:r>
    </w:p>
    <w:p>
      <w:r>
        <w:t>Growing B2B technology and regulated organizations with material security responsibilities, no dedicated CISO, or a leadership gap that requires sustained senior oversight.</w:t>
      </w:r>
    </w:p>
    <w:p>
      <w:pPr>
        <w:pStyle w:val="Heading2"/>
      </w:pPr>
      <w:r>
        <w:t>What brings clients here</w:t>
      </w:r>
    </w:p>
    <w:p>
      <w:r>
        <w:t>Security decisions lack one accountable owner. Technology, legal, compliance, and operations each hold part of the program, but no executive role connects priorities, risk acceptance, funding, and results.</w:t>
      </w:r>
    </w:p>
    <w:p>
      <w:r>
        <w:t>Enterprise buyers ask questions the team answers differently. Customer reviews, diligence calls, and audit requests expose inconsistent narratives, missing evidence, and unclear ownership.</w:t>
      </w:r>
    </w:p>
    <w:p>
      <w:r>
        <w:t>The security roadmap competes with product delivery. Important work stays open because priorities, dependencies, and acceptable risk have not been translated into business decisions.</w:t>
      </w:r>
    </w:p>
    <w:p>
      <w:pPr>
        <w:pStyle w:val="Heading2"/>
      </w:pPr>
      <w:r>
        <w:t>Why this matters</w:t>
      </w:r>
    </w:p>
    <w:p>
      <w:r>
        <w:t>A vCISO establishes an executive governance layer across security, compliance, technology, and business operations.</w:t>
      </w:r>
    </w:p>
    <w:p>
      <w:r>
        <w:t>The role is ongoing and outcome-focused. It is broader than a one-time assessment and lighter than adding a permanent executive before the operating need is clear.</w:t>
      </w:r>
    </w:p>
    <w:p>
      <w:r>
        <w:t>Cyvelle turns technical and regulatory findings into decisions about exposure, ownership, investment, sequencing, and evidence.</w:t>
      </w:r>
    </w:p>
    <w:p>
      <w:pPr>
        <w:pStyle w:val="Heading2"/>
      </w:pPr>
      <w:r>
        <w:t>Decision guide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tcMar>
              <w:top w:w="90" w:type="dxa"/>
              <w:start w:w="100" w:type="dxa"/>
              <w:bottom w:w="90" w:type="dxa"/>
              <w:end w:w="100" w:type="dxa"/>
            </w:tcMar>
            <w:vAlign w:val="top"/>
            <w:shd w:fill="D9EAF7"/>
          </w:tcPr>
          <w:p>
            <w:pPr>
              <w:spacing w:after="30"/>
            </w:pPr>
            <w:r>
              <w:rPr>
                <w:rFonts w:ascii="Aptos" w:hAnsi="Aptos"/>
                <w:b/>
                <w:sz w:val="15"/>
              </w:rPr>
              <w:t>Option</w:t>
            </w:r>
          </w:p>
        </w:tc>
        <w:tc>
          <w:tcPr>
            <w:tcW w:type="dxa" w:w="3389"/>
            <w:tcMar>
              <w:top w:w="90" w:type="dxa"/>
              <w:start w:w="100" w:type="dxa"/>
              <w:bottom w:w="90" w:type="dxa"/>
              <w:end w:w="100" w:type="dxa"/>
            </w:tcMar>
            <w:vAlign w:val="top"/>
            <w:shd w:fill="D9EAF7"/>
          </w:tcPr>
          <w:p>
            <w:pPr>
              <w:spacing w:after="30"/>
            </w:pPr>
            <w:r>
              <w:rPr>
                <w:rFonts w:ascii="Aptos" w:hAnsi="Aptos"/>
                <w:b/>
                <w:sz w:val="15"/>
              </w:rPr>
              <w:t>Best fit</w:t>
            </w:r>
          </w:p>
        </w:tc>
        <w:tc>
          <w:tcPr>
            <w:tcW w:type="dxa" w:w="3389"/>
            <w:tcMar>
              <w:top w:w="90" w:type="dxa"/>
              <w:start w:w="100" w:type="dxa"/>
              <w:bottom w:w="90" w:type="dxa"/>
              <w:end w:w="100" w:type="dxa"/>
            </w:tcMar>
            <w:vAlign w:val="top"/>
            <w:shd w:fill="D9EAF7"/>
          </w:tcPr>
          <w:p>
            <w:pPr>
              <w:spacing w:after="30"/>
            </w:pPr>
            <w:r>
              <w:rPr>
                <w:rFonts w:ascii="Aptos" w:hAnsi="Aptos"/>
                <w:b/>
                <w:sz w:val="15"/>
              </w:rPr>
              <w:t>Primary emphasis</w:t>
            </w:r>
          </w:p>
        </w:tc>
      </w:tr>
      <w:tr>
        <w:trPr>
          <w:cantSplit/>
        </w:trPr>
        <w:tc>
          <w:tcPr>
            <w:tcW w:type="dxa" w:w="3389"/>
            <w:tcMar>
              <w:top w:w="90" w:type="dxa"/>
              <w:start w:w="100" w:type="dxa"/>
              <w:bottom w:w="90" w:type="dxa"/>
              <w:end w:w="100" w:type="dxa"/>
            </w:tcMar>
            <w:vAlign w:val="top"/>
          </w:tcPr>
          <w:p>
            <w:pPr>
              <w:spacing w:after="30"/>
            </w:pPr>
            <w:r>
              <w:rPr>
                <w:rFonts w:ascii="Aptos" w:hAnsi="Aptos"/>
                <w:sz w:val="15"/>
              </w:rPr>
              <w:t>Cyvelle vCISO</w:t>
            </w:r>
          </w:p>
        </w:tc>
        <w:tc>
          <w:tcPr>
            <w:tcW w:type="dxa" w:w="3389"/>
            <w:tcMar>
              <w:top w:w="90" w:type="dxa"/>
              <w:start w:w="100" w:type="dxa"/>
              <w:bottom w:w="90" w:type="dxa"/>
              <w:end w:w="100" w:type="dxa"/>
            </w:tcMar>
            <w:vAlign w:val="top"/>
          </w:tcPr>
          <w:p>
            <w:pPr>
              <w:spacing w:after="30"/>
            </w:pPr>
            <w:r>
              <w:rPr>
                <w:rFonts w:ascii="Aptos" w:hAnsi="Aptos"/>
                <w:sz w:val="15"/>
              </w:rPr>
              <w:t>Ongoing executive direction without a permanent CISO</w:t>
            </w:r>
          </w:p>
        </w:tc>
        <w:tc>
          <w:tcPr>
            <w:tcW w:type="dxa" w:w="3389"/>
            <w:tcMar>
              <w:top w:w="90" w:type="dxa"/>
              <w:start w:w="100" w:type="dxa"/>
              <w:bottom w:w="90" w:type="dxa"/>
              <w:end w:w="100" w:type="dxa"/>
            </w:tcMar>
            <w:vAlign w:val="top"/>
          </w:tcPr>
          <w:p>
            <w:pPr>
              <w:spacing w:after="30"/>
            </w:pPr>
            <w:r>
              <w:rPr>
                <w:rFonts w:ascii="Aptos" w:hAnsi="Aptos"/>
                <w:sz w:val="15"/>
              </w:rPr>
              <w:t>Strategy, risk decisions, governance, assurance, and reporting</w:t>
            </w:r>
          </w:p>
        </w:tc>
      </w:tr>
      <w:tr>
        <w:trPr>
          <w:cantSplit/>
        </w:trPr>
        <w:tc>
          <w:tcPr>
            <w:tcW w:type="dxa" w:w="3389"/>
            <w:tcMar>
              <w:top w:w="90" w:type="dxa"/>
              <w:start w:w="100" w:type="dxa"/>
              <w:bottom w:w="90" w:type="dxa"/>
              <w:end w:w="100" w:type="dxa"/>
            </w:tcMar>
            <w:vAlign w:val="top"/>
          </w:tcPr>
          <w:p>
            <w:pPr>
              <w:spacing w:after="30"/>
            </w:pPr>
            <w:r>
              <w:rPr>
                <w:rFonts w:ascii="Aptos" w:hAnsi="Aptos"/>
                <w:sz w:val="15"/>
              </w:rPr>
              <w:t>Part-Time CISO</w:t>
            </w:r>
          </w:p>
        </w:tc>
        <w:tc>
          <w:tcPr>
            <w:tcW w:type="dxa" w:w="3389"/>
            <w:tcMar>
              <w:top w:w="90" w:type="dxa"/>
              <w:start w:w="100" w:type="dxa"/>
              <w:bottom w:w="90" w:type="dxa"/>
              <w:end w:w="100" w:type="dxa"/>
            </w:tcMar>
            <w:vAlign w:val="top"/>
          </w:tcPr>
          <w:p>
            <w:pPr>
              <w:spacing w:after="30"/>
            </w:pPr>
            <w:r>
              <w:rPr>
                <w:rFonts w:ascii="Aptos" w:hAnsi="Aptos"/>
                <w:sz w:val="15"/>
              </w:rPr>
              <w:t>An embedded leader on a defined weekly schedule</w:t>
            </w:r>
          </w:p>
        </w:tc>
        <w:tc>
          <w:tcPr>
            <w:tcW w:type="dxa" w:w="3389"/>
            <w:tcMar>
              <w:top w:w="90" w:type="dxa"/>
              <w:start w:w="100" w:type="dxa"/>
              <w:bottom w:w="90" w:type="dxa"/>
              <w:end w:w="100" w:type="dxa"/>
            </w:tcMar>
            <w:vAlign w:val="top"/>
          </w:tcPr>
          <w:p>
            <w:pPr>
              <w:spacing w:after="30"/>
            </w:pPr>
            <w:r>
              <w:rPr>
                <w:rFonts w:ascii="Aptos" w:hAnsi="Aptos"/>
                <w:sz w:val="15"/>
              </w:rPr>
              <w:t>Team leadership, operating decisions, execution oversight, and transition</w:t>
            </w:r>
          </w:p>
        </w:tc>
      </w:tr>
      <w:tr>
        <w:trPr>
          <w:cantSplit/>
        </w:trPr>
        <w:tc>
          <w:tcPr>
            <w:tcW w:type="dxa" w:w="3389"/>
            <w:tcMar>
              <w:top w:w="90" w:type="dxa"/>
              <w:start w:w="100" w:type="dxa"/>
              <w:bottom w:w="90" w:type="dxa"/>
              <w:end w:w="100" w:type="dxa"/>
            </w:tcMar>
            <w:vAlign w:val="top"/>
          </w:tcPr>
          <w:p>
            <w:pPr>
              <w:spacing w:after="30"/>
            </w:pPr>
            <w:r>
              <w:rPr>
                <w:rFonts w:ascii="Aptos" w:hAnsi="Aptos"/>
                <w:sz w:val="15"/>
              </w:rPr>
              <w:t>Full-Time CISO</w:t>
            </w:r>
          </w:p>
        </w:tc>
        <w:tc>
          <w:tcPr>
            <w:tcW w:type="dxa" w:w="3389"/>
            <w:tcMar>
              <w:top w:w="90" w:type="dxa"/>
              <w:start w:w="100" w:type="dxa"/>
              <w:bottom w:w="90" w:type="dxa"/>
              <w:end w:w="100" w:type="dxa"/>
            </w:tcMar>
            <w:vAlign w:val="top"/>
          </w:tcPr>
          <w:p>
            <w:pPr>
              <w:spacing w:after="30"/>
            </w:pPr>
            <w:r>
              <w:rPr>
                <w:rFonts w:ascii="Aptos" w:hAnsi="Aptos"/>
                <w:sz w:val="15"/>
              </w:rPr>
              <w:t>A mature program requiring daily executive presence</w:t>
            </w:r>
          </w:p>
        </w:tc>
        <w:tc>
          <w:tcPr>
            <w:tcW w:type="dxa" w:w="3389"/>
            <w:tcMar>
              <w:top w:w="90" w:type="dxa"/>
              <w:start w:w="100" w:type="dxa"/>
              <w:bottom w:w="90" w:type="dxa"/>
              <w:end w:w="100" w:type="dxa"/>
            </w:tcMar>
            <w:vAlign w:val="top"/>
          </w:tcPr>
          <w:p>
            <w:pPr>
              <w:spacing w:after="30"/>
            </w:pPr>
            <w:r>
              <w:rPr>
                <w:rFonts w:ascii="Aptos" w:hAnsi="Aptos"/>
                <w:sz w:val="15"/>
              </w:rPr>
              <w:t>Permanent organizational leadership and full internal accountability</w:t>
            </w:r>
          </w:p>
        </w:tc>
      </w:tr>
    </w:tbl>
    <w:p>
      <w:pPr>
        <w:pStyle w:val="Heading2"/>
      </w:pPr>
      <w:r>
        <w:t>What Cyvelle does</w:t>
      </w:r>
    </w:p>
    <w:p>
      <w:r>
        <w:t>Security strategy and roadmap. Define business-aligned security priorities, target outcomes, accountable owners, dependencies, and review dates.</w:t>
      </w:r>
    </w:p>
    <w:p>
      <w:r>
        <w:t>Risk governance. Establish a repeatable risk intake, assessment, treatment, acceptance, escalation, and reporting process.</w:t>
      </w:r>
    </w:p>
    <w:p>
      <w:r>
        <w:t>Executive and board reporting. Build concise reporting for risk posture, material issues, program progress, exceptions, and decisions requiring leadership action.</w:t>
      </w:r>
    </w:p>
    <w:p>
      <w:r>
        <w:t>Compliance and assurance direction. Coordinate the security program across customer requirements, contractual duties, SOC 2, ISO, PCI DSS, HIPAA, CMMC, or other applicable obligations.</w:t>
      </w:r>
    </w:p>
    <w:p>
      <w:r>
        <w:t>Customer and stakeholder support. Prepare for security questionnaires, customer diligence calls, investor requests, and internal leadership reviews.</w:t>
      </w:r>
    </w:p>
    <w:p>
      <w:r>
        <w:t>Incident governance. Set executive roles, decision rights, escalation paths, communications, and post-incident oversight before an event occurs.</w:t>
      </w:r>
    </w:p>
    <w:p>
      <w:pPr>
        <w:pStyle w:val="Heading2"/>
      </w:pPr>
      <w:r>
        <w:t>What you get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90" w:type="dxa"/>
              <w:start w:w="100" w:type="dxa"/>
              <w:bottom w:w="90" w:type="dxa"/>
              <w:end w:w="100" w:type="dxa"/>
            </w:tcMar>
            <w:vAlign w:val="top"/>
            <w:shd w:fill="D9EAF7"/>
          </w:tcPr>
          <w:p>
            <w:pPr>
              <w:spacing w:after="30"/>
            </w:pPr>
            <w:r>
              <w:rPr>
                <w:rFonts w:ascii="Aptos" w:hAnsi="Aptos"/>
                <w:b/>
                <w:sz w:val="15"/>
              </w:rPr>
              <w:t>Deliverable</w:t>
            </w:r>
          </w:p>
        </w:tc>
        <w:tc>
          <w:tcPr>
            <w:tcW w:type="dxa" w:w="5083"/>
            <w:tcMar>
              <w:top w:w="90" w:type="dxa"/>
              <w:start w:w="100" w:type="dxa"/>
              <w:bottom w:w="90" w:type="dxa"/>
              <w:end w:w="100" w:type="dxa"/>
            </w:tcMar>
            <w:vAlign w:val="top"/>
            <w:shd w:fill="D9EAF7"/>
          </w:tcPr>
          <w:p>
            <w:pPr>
              <w:spacing w:after="30"/>
            </w:pPr>
            <w:r>
              <w:rPr>
                <w:rFonts w:ascii="Aptos" w:hAnsi="Aptos"/>
                <w:b/>
                <w:sz w:val="15"/>
              </w:rPr>
              <w:t>What it gives your team</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Executive security charter and decision-rights model</w:t>
            </w:r>
          </w:p>
        </w:tc>
        <w:tc>
          <w:tcPr>
            <w:tcW w:type="dxa" w:w="5083"/>
            <w:tcMar>
              <w:top w:w="90" w:type="dxa"/>
              <w:start w:w="100" w:type="dxa"/>
              <w:bottom w:w="90" w:type="dxa"/>
              <w:end w:w="100" w:type="dxa"/>
            </w:tcMar>
            <w:vAlign w:val="top"/>
          </w:tcPr>
          <w:p>
            <w:pPr>
              <w:spacing w:after="30"/>
            </w:pPr>
            <w:r>
              <w:rPr>
                <w:rFonts w:ascii="Aptos" w:hAnsi="Aptos"/>
                <w:sz w:val="15"/>
              </w:rPr>
              <w:t>Gives teams a documented operating model aligned to actual practice.</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Current-state risk and priority register</w:t>
            </w:r>
          </w:p>
        </w:tc>
        <w:tc>
          <w:tcPr>
            <w:tcW w:type="dxa" w:w="5083"/>
            <w:tcMar>
              <w:top w:w="90" w:type="dxa"/>
              <w:start w:w="100" w:type="dxa"/>
              <w:bottom w:w="90" w:type="dxa"/>
              <w:end w:w="100" w:type="dxa"/>
            </w:tcMar>
            <w:vAlign w:val="top"/>
          </w:tcPr>
          <w:p>
            <w:pPr>
              <w:spacing w:after="30"/>
            </w:pPr>
            <w:r>
              <w:rPr>
                <w:rFonts w:ascii="Aptos" w:hAnsi="Aptos"/>
                <w:sz w:val="15"/>
              </w:rPr>
              <w:t>Records risks, gaps, owners, treatment decisions, and status in one place.</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Security roadmap with owners, dependencies, and milestones</w:t>
            </w:r>
          </w:p>
        </w:tc>
        <w:tc>
          <w:tcPr>
            <w:tcW w:type="dxa" w:w="5083"/>
            <w:tcMar>
              <w:top w:w="90" w:type="dxa"/>
              <w:start w:w="100" w:type="dxa"/>
              <w:bottom w:w="90" w:type="dxa"/>
              <w:end w:w="100" w:type="dxa"/>
            </w:tcMar>
            <w:vAlign w:val="top"/>
          </w:tcPr>
          <w:p>
            <w:pPr>
              <w:spacing w:after="30"/>
            </w:pPr>
            <w:r>
              <w:rPr>
                <w:rFonts w:ascii="Aptos" w:hAnsi="Aptos"/>
                <w:sz w:val="15"/>
              </w:rPr>
              <w:t>Connects requirements, controls, owners, evidence, and dependencies.</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Executive or board reporting pack</w:t>
            </w:r>
          </w:p>
        </w:tc>
        <w:tc>
          <w:tcPr>
            <w:tcW w:type="dxa" w:w="5083"/>
            <w:tcMar>
              <w:top w:w="90" w:type="dxa"/>
              <w:start w:w="100" w:type="dxa"/>
              <w:bottom w:w="90" w:type="dxa"/>
              <w:end w:w="100" w:type="dxa"/>
            </w:tcMar>
            <w:vAlign w:val="top"/>
          </w:tcPr>
          <w:p>
            <w:pPr>
              <w:spacing w:after="30"/>
            </w:pPr>
            <w:r>
              <w:rPr>
                <w:rFonts w:ascii="Aptos" w:hAnsi="Aptos"/>
                <w:sz w:val="15"/>
              </w:rPr>
              <w:t>Gives leadership a decision-ready view of exposure, priorities, and next steps.</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Governance calendar for recurring reviews</w:t>
            </w:r>
          </w:p>
        </w:tc>
        <w:tc>
          <w:tcPr>
            <w:tcW w:type="dxa" w:w="5083"/>
            <w:tcMar>
              <w:top w:w="90" w:type="dxa"/>
              <w:start w:w="100" w:type="dxa"/>
              <w:bottom w:w="90" w:type="dxa"/>
              <w:end w:w="100" w:type="dxa"/>
            </w:tcMar>
            <w:vAlign w:val="top"/>
          </w:tcPr>
          <w:p>
            <w:pPr>
              <w:spacing w:after="30"/>
            </w:pPr>
            <w:r>
              <w:rPr>
                <w:rFonts w:ascii="Aptos" w:hAnsi="Aptos"/>
                <w:sz w:val="15"/>
              </w:rPr>
              <w:t>Sequences the next actions, owners, dependencies, and review dates.</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Customer, auditor, and leadership evidence plan</w:t>
            </w:r>
          </w:p>
        </w:tc>
        <w:tc>
          <w:tcPr>
            <w:tcW w:type="dxa" w:w="5083"/>
            <w:tcMar>
              <w:top w:w="90" w:type="dxa"/>
              <w:start w:w="100" w:type="dxa"/>
              <w:bottom w:w="90" w:type="dxa"/>
              <w:end w:w="100" w:type="dxa"/>
            </w:tcMar>
            <w:vAlign w:val="top"/>
          </w:tcPr>
          <w:p>
            <w:pPr>
              <w:spacing w:after="30"/>
            </w:pPr>
            <w:r>
              <w:rPr>
                <w:rFonts w:ascii="Aptos" w:hAnsi="Aptos"/>
                <w:sz w:val="15"/>
              </w:rPr>
              <w:t>Establishes the recurring evidence and communication rhythm required for assurance.</w:t>
            </w:r>
          </w:p>
        </w:tc>
      </w:tr>
    </w:tbl>
    <w:p>
      <w:pPr>
        <w:pStyle w:val="Heading2"/>
      </w:pPr>
      <w:r>
        <w:t>Expected operating outcomes</w:t>
      </w:r>
    </w:p>
    <w:p>
      <w:r>
        <w:t>One accountable executive view of security risk and program priorities.</w:t>
      </w:r>
    </w:p>
    <w:p>
      <w:r>
        <w:t>Faster decisions on funding, remediation, exceptions, and customer commitments.</w:t>
      </w:r>
    </w:p>
    <w:p>
      <w:r>
        <w:t>Consistent security narratives supported by reusable evidence.</w:t>
      </w:r>
    </w:p>
    <w:p>
      <w:r>
        <w:t>A security program that grows with the business instead of reacting to each new request.</w:t>
      </w:r>
    </w:p>
    <w:p>
      <w:pPr>
        <w:pStyle w:val="Heading2"/>
      </w:pPr>
      <w:r>
        <w:t>How the engagement works</w:t>
      </w:r>
    </w:p>
    <w:p>
      <w:r>
        <w:t>Scope and plan. A 30-minute consultation clarifies the business trigger, scope, deadlines, stakeholders, and the decision the engagement needs to support.</w:t>
      </w:r>
    </w:p>
    <w:p>
      <w:r>
        <w:t>Evidence and assessment. Temi reviews existing documentation and evidence, interviews accountable owners, and tests stated requirements against operating reality.</w:t>
      </w:r>
    </w:p>
    <w:p>
      <w:r>
        <w:t>Remediation and implementation. Gaps become a sequenced plan with owners, evidence expectations, dependencies, and decisions. Implementation support follows the agreed scope.</w:t>
      </w:r>
    </w:p>
    <w:p>
      <w:r>
        <w:t>Readout and handoff. Leadership receives the working artifacts, a decision-ready readout, and the cadence needed to keep the program current.</w:t>
      </w:r>
    </w:p>
    <w:p>
      <w:pPr>
        <w:pStyle w:val="Heading2"/>
        <w:keepNext/>
        <w:pageBreakBefore/>
      </w:pPr>
      <w:r>
        <w:t>Pricing</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800"/>
            <w:tcMar>
              <w:top w:w="90" w:type="dxa"/>
              <w:start w:w="100" w:type="dxa"/>
              <w:bottom w:w="90" w:type="dxa"/>
              <w:end w:w="100" w:type="dxa"/>
            </w:tcMar>
            <w:vAlign w:val="top"/>
            <w:shd w:fill="D9EAF7"/>
          </w:tcPr>
          <w:p>
            <w:pPr>
              <w:spacing w:after="30"/>
            </w:pPr>
            <w:r>
              <w:rPr>
                <w:rFonts w:ascii="Aptos" w:hAnsi="Aptos"/>
                <w:b/>
                <w:sz w:val="15"/>
              </w:rPr>
              <w:t>Engagement level</w:t>
            </w:r>
          </w:p>
        </w:tc>
        <w:tc>
          <w:tcPr>
            <w:tcW w:type="dxa" w:w="1656"/>
            <w:tcMar>
              <w:top w:w="90" w:type="dxa"/>
              <w:start w:w="100" w:type="dxa"/>
              <w:bottom w:w="90" w:type="dxa"/>
              <w:end w:w="100" w:type="dxa"/>
            </w:tcMar>
            <w:vAlign w:val="top"/>
            <w:shd w:fill="D9EAF7"/>
          </w:tcPr>
          <w:p>
            <w:pPr>
              <w:spacing w:after="30"/>
            </w:pPr>
            <w:r>
              <w:rPr>
                <w:rFonts w:ascii="Aptos" w:hAnsi="Aptos"/>
                <w:b/>
                <w:sz w:val="15"/>
              </w:rPr>
              <w:t>Public price</w:t>
            </w:r>
          </w:p>
        </w:tc>
        <w:tc>
          <w:tcPr>
            <w:tcW w:type="dxa" w:w="3168"/>
            <w:tcMar>
              <w:top w:w="90" w:type="dxa"/>
              <w:start w:w="100" w:type="dxa"/>
              <w:bottom w:w="90" w:type="dxa"/>
              <w:end w:w="100" w:type="dxa"/>
            </w:tcMar>
            <w:vAlign w:val="top"/>
            <w:shd w:fill="D9EAF7"/>
          </w:tcPr>
          <w:p>
            <w:pPr>
              <w:spacing w:after="30"/>
            </w:pPr>
            <w:r>
              <w:rPr>
                <w:rFonts w:ascii="Aptos" w:hAnsi="Aptos"/>
                <w:b/>
                <w:sz w:val="15"/>
              </w:rPr>
              <w:t>Best fit</w:t>
            </w:r>
          </w:p>
        </w:tc>
        <w:tc>
          <w:tcPr>
            <w:tcW w:type="dxa" w:w="4248"/>
            <w:tcMar>
              <w:top w:w="90" w:type="dxa"/>
              <w:start w:w="100" w:type="dxa"/>
              <w:bottom w:w="90" w:type="dxa"/>
              <w:end w:w="100" w:type="dxa"/>
            </w:tcMar>
            <w:vAlign w:val="top"/>
            <w:shd w:fill="D9EAF7"/>
          </w:tcPr>
          <w:p>
            <w:pPr>
              <w:spacing w:after="30"/>
            </w:pPr>
            <w:r>
              <w:rPr>
                <w:rFonts w:ascii="Aptos" w:hAnsi="Aptos"/>
                <w:b/>
                <w:sz w:val="15"/>
              </w:rPr>
              <w:t>Scope distinction</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Governance Advisor</w:t>
            </w:r>
          </w:p>
        </w:tc>
        <w:tc>
          <w:tcPr>
            <w:tcW w:type="dxa" w:w="1656"/>
            <w:tcMar>
              <w:top w:w="90" w:type="dxa"/>
              <w:start w:w="100" w:type="dxa"/>
              <w:bottom w:w="90" w:type="dxa"/>
              <w:end w:w="100" w:type="dxa"/>
            </w:tcMar>
            <w:vAlign w:val="top"/>
          </w:tcPr>
          <w:p>
            <w:pPr>
              <w:spacing w:after="30"/>
            </w:pPr>
            <w:r>
              <w:rPr>
                <w:rFonts w:ascii="Aptos" w:hAnsi="Aptos"/>
                <w:sz w:val="15"/>
              </w:rPr>
              <w:t>$5,500 / month</w:t>
            </w:r>
          </w:p>
        </w:tc>
        <w:tc>
          <w:tcPr>
            <w:tcW w:type="dxa" w:w="3168"/>
            <w:tcMar>
              <w:top w:w="90" w:type="dxa"/>
              <w:start w:w="100" w:type="dxa"/>
              <w:bottom w:w="90" w:type="dxa"/>
              <w:end w:w="100" w:type="dxa"/>
            </w:tcMar>
            <w:vAlign w:val="top"/>
          </w:tcPr>
          <w:p>
            <w:pPr>
              <w:spacing w:after="30"/>
            </w:pPr>
            <w:r>
              <w:rPr>
                <w:rFonts w:ascii="Aptos" w:hAnsi="Aptos"/>
                <w:sz w:val="15"/>
              </w:rPr>
              <w:t>Senior security guidance without day-to-day program ownership.</w:t>
            </w:r>
          </w:p>
        </w:tc>
        <w:tc>
          <w:tcPr>
            <w:tcW w:type="dxa" w:w="4248"/>
            <w:tcMar>
              <w:top w:w="90" w:type="dxa"/>
              <w:start w:w="100" w:type="dxa"/>
              <w:bottom w:w="90" w:type="dxa"/>
              <w:end w:w="100" w:type="dxa"/>
            </w:tcMar>
            <w:vAlign w:val="top"/>
          </w:tcPr>
          <w:p>
            <w:pPr>
              <w:spacing w:after="30"/>
            </w:pPr>
            <w:r>
              <w:rPr>
                <w:rFonts w:ascii="Aptos" w:hAnsi="Aptos"/>
                <w:sz w:val="15"/>
              </w:rPr>
              <w:t>Monthly executive steering, risk and roadmap review, bounded artifact/decision review, and executive risk brief.</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Security Program Lead</w:t>
            </w:r>
          </w:p>
        </w:tc>
        <w:tc>
          <w:tcPr>
            <w:tcW w:type="dxa" w:w="1656"/>
            <w:tcMar>
              <w:top w:w="90" w:type="dxa"/>
              <w:start w:w="100" w:type="dxa"/>
              <w:bottom w:w="90" w:type="dxa"/>
              <w:end w:w="100" w:type="dxa"/>
            </w:tcMar>
            <w:vAlign w:val="top"/>
          </w:tcPr>
          <w:p>
            <w:pPr>
              <w:spacing w:after="30"/>
            </w:pPr>
            <w:r>
              <w:rPr>
                <w:rFonts w:ascii="Aptos" w:hAnsi="Aptos"/>
                <w:sz w:val="15"/>
              </w:rPr>
              <w:t>$8,500 / month</w:t>
            </w:r>
          </w:p>
        </w:tc>
        <w:tc>
          <w:tcPr>
            <w:tcW w:type="dxa" w:w="3168"/>
            <w:tcMar>
              <w:top w:w="90" w:type="dxa"/>
              <w:start w:w="100" w:type="dxa"/>
              <w:bottom w:w="90" w:type="dxa"/>
              <w:end w:w="100" w:type="dxa"/>
            </w:tcMar>
            <w:vAlign w:val="top"/>
          </w:tcPr>
          <w:p>
            <w:pPr>
              <w:spacing w:after="30"/>
            </w:pPr>
            <w:r>
              <w:rPr>
                <w:rFonts w:ascii="Aptos" w:hAnsi="Aptos"/>
                <w:sz w:val="15"/>
              </w:rPr>
              <w:t>Ongoing vCISO ownership for a growing security and compliance program.</w:t>
            </w:r>
          </w:p>
        </w:tc>
        <w:tc>
          <w:tcPr>
            <w:tcW w:type="dxa" w:w="4248"/>
            <w:tcMar>
              <w:top w:w="90" w:type="dxa"/>
              <w:start w:w="100" w:type="dxa"/>
              <w:bottom w:w="90" w:type="dxa"/>
              <w:end w:w="100" w:type="dxa"/>
            </w:tcMar>
            <w:vAlign w:val="top"/>
          </w:tcPr>
          <w:p>
            <w:pPr>
              <w:spacing w:after="30"/>
            </w:pPr>
            <w:r>
              <w:rPr>
                <w:rFonts w:ascii="Aptos" w:hAnsi="Aptos"/>
                <w:sz w:val="15"/>
              </w:rPr>
              <w:t>Biweekly operating cadence, roadmap ownership, evidence-quality review, audit coordination, control-owner follow-up, and executive reporting.</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Embedded vCISO</w:t>
            </w:r>
          </w:p>
        </w:tc>
        <w:tc>
          <w:tcPr>
            <w:tcW w:type="dxa" w:w="1656"/>
            <w:tcMar>
              <w:top w:w="90" w:type="dxa"/>
              <w:start w:w="100" w:type="dxa"/>
              <w:bottom w:w="90" w:type="dxa"/>
              <w:end w:w="100" w:type="dxa"/>
            </w:tcMar>
            <w:vAlign w:val="top"/>
          </w:tcPr>
          <w:p>
            <w:pPr>
              <w:spacing w:after="30"/>
            </w:pPr>
            <w:r>
              <w:rPr>
                <w:rFonts w:ascii="Aptos" w:hAnsi="Aptos"/>
                <w:sz w:val="15"/>
              </w:rPr>
              <w:t>$12,000 / month</w:t>
            </w:r>
          </w:p>
        </w:tc>
        <w:tc>
          <w:tcPr>
            <w:tcW w:type="dxa" w:w="3168"/>
            <w:tcMar>
              <w:top w:w="90" w:type="dxa"/>
              <w:start w:w="100" w:type="dxa"/>
              <w:bottom w:w="90" w:type="dxa"/>
              <w:end w:w="100" w:type="dxa"/>
            </w:tcMar>
            <w:vAlign w:val="top"/>
          </w:tcPr>
          <w:p>
            <w:pPr>
              <w:spacing w:after="30"/>
            </w:pPr>
            <w:r>
              <w:rPr>
                <w:rFonts w:ascii="Aptos" w:hAnsi="Aptos"/>
                <w:sz w:val="15"/>
              </w:rPr>
              <w:t>Deeper executive ownership across a complex or multi-framework program.</w:t>
            </w:r>
          </w:p>
        </w:tc>
        <w:tc>
          <w:tcPr>
            <w:tcW w:type="dxa" w:w="4248"/>
            <w:tcMar>
              <w:top w:w="90" w:type="dxa"/>
              <w:start w:w="100" w:type="dxa"/>
              <w:bottom w:w="90" w:type="dxa"/>
              <w:end w:w="100" w:type="dxa"/>
            </w:tcMar>
            <w:vAlign w:val="top"/>
          </w:tcPr>
          <w:p>
            <w:pPr>
              <w:spacing w:after="30"/>
            </w:pPr>
            <w:r>
              <w:rPr>
                <w:rFonts w:ascii="Aptos" w:hAnsi="Aptos"/>
                <w:sz w:val="15"/>
              </w:rPr>
              <w:t>Weekly leadership cadence, cross-functional program direction, board/executive reporting, audit and customer diligence leadership, and incident-governance oversight.</w:t>
            </w:r>
          </w:p>
        </w:tc>
      </w:tr>
    </w:tbl>
    <w:p>
      <w:pPr>
        <w:pStyle w:val="DeveloperNote"/>
      </w:pPr>
      <w:r>
        <w:t>Website treatment: three cards on desktop, stacked cards on mobile. Each card links to Book a 30-Minute Consultation. Final scope is confirmed in the Statement of Work.</w:t>
      </w:r>
    </w:p>
    <w:p>
      <w:pPr>
        <w:pStyle w:val="DeveloperNote"/>
      </w:pPr>
      <w:r>
        <w:t>Out-of-scope specialist services, software, travel, production changes, and other third-party costs are separate where applicable.</w:t>
      </w:r>
    </w:p>
    <w:p>
      <w:pPr>
        <w:pStyle w:val="Heading2"/>
      </w:pPr>
      <w:r>
        <w:t>Scope boundaries</w:t>
      </w:r>
    </w:p>
    <w:p>
      <w:r>
        <w:t>This service does not replace managed detection and response, a security operations center, penetration testing, legal counsel, or an independent auditor.</w:t>
      </w:r>
    </w:p>
    <w:p>
      <w:r>
        <w:t>Operational ownership, delegated authority, meeting cadence, and availability are defined in the engagement scope.</w:t>
      </w:r>
    </w:p>
    <w:p>
      <w:r>
        <w:t>Cyvelle coordinates specialist partners when the program needs testing, engineering, legal, privacy, or independent assessment work outside the agreed scope.</w:t>
      </w:r>
    </w:p>
    <w:p>
      <w:pPr>
        <w:pStyle w:val="DeveloperNote"/>
      </w:pPr>
      <w:r>
        <w:t>Developer treatment: Use a quiet accordion or shaded note. Keep it visible, but do not let it dominate the page.</w:t>
      </w:r>
    </w:p>
    <w:p>
      <w:pPr>
        <w:pStyle w:val="Heading2"/>
      </w:pPr>
      <w:r>
        <w:t>Why Cyvelle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90" w:type="dxa"/>
              <w:start w:w="100" w:type="dxa"/>
              <w:bottom w:w="90" w:type="dxa"/>
              <w:end w:w="100" w:type="dxa"/>
            </w:tcMar>
            <w:vAlign w:val="top"/>
            <w:shd w:fill="D9EAF7"/>
          </w:tcPr>
          <w:p>
            <w:pPr>
              <w:spacing w:after="30"/>
            </w:pPr>
            <w:r>
              <w:rPr>
                <w:rFonts w:ascii="Aptos" w:hAnsi="Aptos"/>
                <w:b/>
                <w:sz w:val="15"/>
              </w:rPr>
              <w:t>Founder-led</w:t>
            </w:r>
          </w:p>
        </w:tc>
        <w:tc>
          <w:tcPr>
            <w:tcW w:type="dxa" w:w="5083"/>
            <w:tcMar>
              <w:top w:w="90" w:type="dxa"/>
              <w:start w:w="100" w:type="dxa"/>
              <w:bottom w:w="90" w:type="dxa"/>
              <w:end w:w="100" w:type="dxa"/>
            </w:tcMar>
            <w:vAlign w:val="top"/>
            <w:shd w:fill="D9EAF7"/>
          </w:tcPr>
          <w:p>
            <w:pPr>
              <w:spacing w:after="30"/>
            </w:pPr>
            <w:r>
              <w:rPr>
                <w:rFonts w:ascii="Aptos" w:hAnsi="Aptos"/>
                <w:b/>
                <w:sz w:val="15"/>
              </w:rPr>
              <w:t>20+ years of operating experience</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Every engagement is led directly by Temi. The practitioner you meet during scoping stays connected to delivery and executive communication.</w:t>
            </w:r>
          </w:p>
        </w:tc>
        <w:tc>
          <w:tcPr>
            <w:tcW w:type="dxa" w:w="5083"/>
            <w:tcMar>
              <w:top w:w="90" w:type="dxa"/>
              <w:start w:w="100" w:type="dxa"/>
              <w:bottom w:w="90" w:type="dxa"/>
              <w:end w:w="100" w:type="dxa"/>
            </w:tcMar>
            <w:vAlign w:val="top"/>
          </w:tcPr>
          <w:p>
            <w:pPr>
              <w:spacing w:after="30"/>
            </w:pPr>
            <w:r>
              <w:rPr>
                <w:rFonts w:ascii="Aptos" w:hAnsi="Aptos"/>
                <w:sz w:val="15"/>
              </w:rPr>
              <w:t>Temi brings more than 20 years across GRC, cybersecurity, audit, enterprise risk, privacy, cloud, and compliance environments.</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Reuse before rebuild</w:t>
            </w:r>
          </w:p>
        </w:tc>
        <w:tc>
          <w:tcPr>
            <w:tcW w:type="dxa" w:w="5083"/>
            <w:tcMar>
              <w:top w:w="90" w:type="dxa"/>
              <w:start w:w="100" w:type="dxa"/>
              <w:bottom w:w="90" w:type="dxa"/>
              <w:end w:w="100" w:type="dxa"/>
            </w:tcMar>
            <w:vAlign w:val="top"/>
          </w:tcPr>
          <w:p>
            <w:pPr>
              <w:spacing w:after="30"/>
            </w:pPr>
            <w:r>
              <w:rPr>
                <w:rFonts w:ascii="Aptos" w:hAnsi="Aptos"/>
                <w:sz w:val="15"/>
              </w:rPr>
              <w:t>Decision-ready reporting</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w:t>
            </w:r>
          </w:p>
        </w:tc>
        <w:tc>
          <w:tcPr>
            <w:tcW w:type="dxa" w:w="5083"/>
            <w:tcMar>
              <w:top w:w="90" w:type="dxa"/>
              <w:start w:w="100" w:type="dxa"/>
              <w:bottom w:w="90" w:type="dxa"/>
              <w:end w:w="100" w:type="dxa"/>
            </w:tcMar>
            <w:vAlign w:val="top"/>
          </w:tcPr>
          <w:p>
            <w:pPr>
              <w:spacing w:after="30"/>
            </w:pPr>
            <w:r>
              <w:rPr>
                <w:rFonts w:ascii="Aptos" w:hAnsi="Aptos"/>
                <w:sz w:val="15"/>
              </w:rPr>
              <w:t>---</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Existing policies, controls, assessments, and evidence are mapped first. New work starts where a real gap remains.</w:t>
            </w:r>
          </w:p>
        </w:tc>
        <w:tc>
          <w:tcPr>
            <w:tcW w:type="dxa" w:w="5083"/>
            <w:tcMar>
              <w:top w:w="90" w:type="dxa"/>
              <w:start w:w="100" w:type="dxa"/>
              <w:bottom w:w="90" w:type="dxa"/>
              <w:end w:w="100" w:type="dxa"/>
            </w:tcMar>
            <w:vAlign w:val="top"/>
          </w:tcPr>
          <w:p>
            <w:pPr>
              <w:spacing w:after="30"/>
            </w:pPr>
            <w:r>
              <w:rPr>
                <w:rFonts w:ascii="Aptos" w:hAnsi="Aptos"/>
                <w:sz w:val="15"/>
              </w:rPr>
              <w:t>Leadership receives priorities, owners, dependencies, evidence expectations, and decisions to make, not a gap list without an operating path.</w:t>
            </w:r>
          </w:p>
        </w:tc>
      </w:tr>
    </w:tbl>
    <w:p>
      <w:pPr>
        <w:pStyle w:val="ListBullet"/>
        <w:ind w:left="288" w:hanging="173"/>
      </w:pPr>
      <w:r>
        <w:t>11. Led by Temi</w:t>
      </w:r>
    </w:p>
    <w:p>
      <w:pPr>
        <w:pStyle w:val="ListBullet"/>
        <w:ind w:left="288" w:hanging="173"/>
      </w:pPr>
      <w:r>
        <w:t>Every Cyvelle engagement is led by Temi Oyawoye. Temi brings more than 20 years of experience across governance, risk and compliance, cybersecurity, audit, enterprise risk, privacy, cloud, and emerging AI governance. The work connects requirements to accountable ownership, evidence, executive reporting, and business decisions.</w:t>
      </w:r>
    </w:p>
    <w:p>
      <w:pPr>
        <w:pStyle w:val="ListBullet"/>
        <w:ind w:left="288" w:hanging="173"/>
      </w:pPr>
      <w:r>
        <w:t>CISA | CISM | CRISC | CDPSE | PCI-QSA | MSIS</w:t>
      </w:r>
    </w:p>
    <w:p>
      <w:r>
        <w:t xml:space="preserve">Connect with Temi on LinkedIn: </w:t>
      </w:r>
      <w:hyperlink r:id="rId11">
        <w:r>
          <w:rPr>
            <w:color w:val="2563EB"/>
            <w:u w:val="single"/>
          </w:rPr>
          <w:t>LinkedIn</w:t>
        </w:r>
      </w:hyperlink>
    </w:p>
    <w:p>
      <w:r>
        <w:rPr>
          <w:b/>
          <w:color w:val="1F4E79"/>
        </w:rPr>
        <w:t>Book a 30-Minute Consultation</w:t>
      </w:r>
    </w:p>
    <w:p>
      <w:pPr>
        <w:pStyle w:val="Heading2"/>
      </w:pPr>
      <w:r>
        <w:t>Frequently asked questions</w:t>
      </w:r>
    </w:p>
    <w:p>
      <w:r>
        <w:t>How is a vCISO different from a security consultant?</w:t>
      </w:r>
    </w:p>
    <w:p>
      <w:r>
        <w:t>A consultant often delivers a defined project. A vCISO provides recurring executive leadership, makes the program coherent across projects, and maintains an operating cadence for decisions, risk, reporting, and accountability.</w:t>
      </w:r>
    </w:p>
    <w:p>
      <w:r>
        <w:t>Will Cyvelle work with our existing IT or security team?</w:t>
      </w:r>
    </w:p>
    <w:p>
      <w:r>
        <w:t>Yes. The engagement assigns clear roles across internal teams, managed providers, legal counsel, auditors, and other specialists. Cyvelle leads governance and keeps decisions connected.</w:t>
      </w:r>
    </w:p>
    <w:p>
      <w:r>
        <w:t>Does a vCISO own compliance too?</w:t>
      </w:r>
    </w:p>
    <w:p>
      <w:r>
        <w:t>The role aligns security and compliance where they overlap. A dedicated Fractional Compliance Officer is a better fit when regulatory inventory, control operations, testing, and audit coordination form the primary need.</w:t>
      </w:r>
    </w:p>
    <w:p>
      <w:r>
        <w:t>What does the first month focus on?</w:t>
      </w:r>
    </w:p>
    <w:p>
      <w:r>
        <w:t>The opening phase confirms business priorities, decision rights, material risks, existing commitments, current evidence, and the first sequenced roadmap.</w:t>
      </w:r>
    </w:p>
    <w:p>
      <w:r>
        <w:t>Does Cyvelle provide 24-hour incident response?</w:t>
      </w:r>
    </w:p>
    <w:p>
      <w:r>
        <w:t>No. Cyvelle builds and governs the response program, supports agreed executive coordination, and works with retained legal, forensic, insurance, and technical response providers.</w:t>
      </w:r>
    </w:p>
    <w:p>
      <w:r>
        <w:t>13. Related Intelligence and related services</w:t>
      </w:r>
    </w:p>
    <w:p>
      <w:pPr>
        <w:pStyle w:val="Heading2"/>
      </w:pPr>
      <w:r>
        <w:t>Related services:</w:t>
      </w:r>
    </w:p>
    <w:p>
      <w:r>
        <w:t>Part-Time CISO</w:t>
      </w:r>
    </w:p>
    <w:p>
      <w:r>
        <w:t>Fractional Compliance Officer</w:t>
      </w:r>
    </w:p>
    <w:p>
      <w:r>
        <w:t>Cybersecurity Maturity Assessment</w:t>
      </w:r>
    </w:p>
    <w:p>
      <w:r>
        <w:t>The Governance Blueprint</w:t>
      </w:r>
    </w:p>
    <w:p>
      <w:pPr>
        <w:pStyle w:val="DeveloperNote"/>
      </w:pPr>
      <w:r>
        <w:t>Developer treatment: Hide Related Intelligence until at least two relevant articles are published.</w:t>
      </w:r>
    </w:p>
    <w:p>
      <w:pPr>
        <w:pStyle w:val="Heading2"/>
      </w:pPr>
      <w:r>
        <w:t>Final call to action</w:t>
      </w:r>
    </w:p>
    <w:p>
      <w:r>
        <w:t>Ready to clarify the right path?</w:t>
      </w:r>
    </w:p>
    <w:p>
      <w:r>
        <w:t>Bring the business trigger, deadline, and current challenge. Cyvelle will confirm whether this is the right starting point and what the next decision should be.</w:t>
      </w:r>
    </w:p>
    <w:p>
      <w:r>
        <w:rPr>
          <w:b/>
          <w:color w:val="1F4E79"/>
        </w:rPr>
        <w:t>Book a 30-Minute Consultation</w:t>
      </w:r>
    </w:p>
    <w:p>
      <w:pPr>
        <w:pStyle w:val="DeveloperNote"/>
      </w:pPr>
      <w:r>
        <w:t>Recommended form fields: Name | Work email | Company | Service | Message</w:t>
      </w:r>
    </w:p>
    <w:p>
      <w:pPr>
        <w:pStyle w:val="Heading2"/>
      </w:pPr>
      <w:r>
        <w:t>Developer Implementation Checklist</w:t>
      </w:r>
    </w:p>
    <w:p>
      <w:pPr>
        <w:pStyle w:val="ListBullet"/>
        <w:ind w:left="288" w:hanging="173"/>
      </w:pPr>
      <w:r>
        <w:t>Use the same 30-minute consultation CTA across the site.</w:t>
      </w:r>
    </w:p>
    <w:p>
      <w:pPr>
        <w:pStyle w:val="ListBullet"/>
        <w:ind w:left="288" w:hanging="173"/>
      </w:pPr>
      <w:r>
        <w:t>Use Temi Oyawoye on first mention and in headings; use Temi naturally thereafter.</w:t>
      </w:r>
    </w:p>
    <w:p>
      <w:r>
        <w:t xml:space="preserve">Link the founder module to </w:t>
      </w:r>
      <w:hyperlink r:id="rId11">
        <w:r>
          <w:rPr>
            <w:color w:val="2563EB"/>
            <w:u w:val="single"/>
          </w:rPr>
          <w:t>LinkedIn</w:t>
        </w:r>
      </w:hyperlink>
    </w:p>
    <w:p>
      <w:pPr>
        <w:pStyle w:val="ListBullet"/>
        <w:ind w:left="288" w:hanging="173"/>
      </w:pPr>
      <w:r>
        <w:t>Keep What You Get visually stronger than explanatory framework copy.</w:t>
      </w:r>
    </w:p>
    <w:p>
      <w:pPr>
        <w:pStyle w:val="ListBullet"/>
        <w:ind w:left="288" w:hanging="173"/>
      </w:pPr>
      <w:r>
        <w:t>Use one service-specific engagement process; do not add a duplicate global process underneath it.</w:t>
      </w:r>
    </w:p>
    <w:p>
      <w:pPr>
        <w:pStyle w:val="ListBullet"/>
        <w:ind w:left="288" w:hanging="173"/>
      </w:pPr>
      <w:r>
        <w:t>Do not add a universal Cyvelle-versus-large-firm comparison table.</w:t>
      </w:r>
    </w:p>
    <w:p>
      <w:pPr>
        <w:pStyle w:val="ListBullet"/>
        <w:ind w:left="288" w:hanging="173"/>
      </w:pPr>
      <w:r>
        <w:t>Do not publish guarantees, audit-pass claims, client-count claims, or other performance claims unless separately approved and substantiated.</w:t>
      </w:r>
    </w:p>
    <w:p>
      <w:pPr>
        <w:pStyle w:val="Heading2"/>
      </w:pPr>
      <w:r>
        <w:t>Final Developer Rules</w:t>
      </w:r>
    </w:p>
    <w:p>
      <w:pPr>
        <w:pStyle w:val="ListBullet"/>
        <w:ind w:left="288" w:hanging="173"/>
      </w:pPr>
      <w:r>
        <w:t>Keep the sticky header CTA as Book a 30-Minute Consultation.</w:t>
      </w:r>
    </w:p>
    <w:p>
      <w:pPr>
        <w:pStyle w:val="ListBullet"/>
        <w:ind w:left="288" w:hanging="173"/>
      </w:pPr>
      <w:r>
        <w:t>Render What You Get as a high-contrast deliverables table or card grid.</w:t>
      </w:r>
    </w:p>
    <w:p>
      <w:pPr>
        <w:pStyle w:val="ListBullet"/>
        <w:ind w:left="288" w:hanging="173"/>
      </w:pPr>
      <w:r>
        <w:t>Render pricing as three cards on desktop and stacked cards on mobile. The Governance Blueprint uses one fixed-price block.</w:t>
      </w:r>
    </w:p>
    <w:p>
      <w:pPr>
        <w:pStyle w:val="ListBullet"/>
        <w:ind w:left="288" w:hanging="173"/>
      </w:pPr>
      <w:r>
        <w:t>Do not expose internal professional-hour guardrails, capacity ceilings, or internal delivery constraints from the Pricing, Scope &amp; Delivery Guide.</w:t>
      </w:r>
    </w:p>
    <w:p>
      <w:pPr>
        <w:pStyle w:val="ListBullet"/>
        <w:ind w:left="288" w:hanging="173"/>
      </w:pPr>
      <w:r>
        <w:t>Use one service-specific process only. Do not add a duplicate global process underneath it.</w:t>
      </w:r>
    </w:p>
    <w:p>
      <w:pPr>
        <w:pStyle w:val="ListBullet"/>
        <w:ind w:left="288" w:hanging="173"/>
      </w:pPr>
      <w:r>
        <w:t>Place Important Scope Information after process and pricing, and before Why Cyvelle, founder module, and FAQ.</w:t>
      </w:r>
    </w:p>
    <w:p>
      <w:pPr>
        <w:pStyle w:val="ListBullet"/>
        <w:ind w:left="288" w:hanging="173"/>
      </w:pPr>
      <w:r>
        <w:t>Use Temi Oyawoye on first mention and in headings. Use Temi naturally thereafter.</w:t>
      </w:r>
    </w:p>
    <w:p>
      <w:pPr>
        <w:pStyle w:val="ListBullet"/>
        <w:ind w:left="288" w:hanging="173"/>
      </w:pPr>
      <w:r>
        <w:t>Founder module links to About and LinkedIn.</w:t>
      </w:r>
    </w:p>
    <w:p>
      <w:pPr>
        <w:pStyle w:val="ListBullet"/>
        <w:ind w:left="288" w:hanging="173"/>
      </w:pPr>
      <w:r>
        <w:t>Hide Related Intelligence until at least two relevant items are live.</w:t>
      </w:r>
    </w:p>
    <w:p>
      <w:pPr>
        <w:pStyle w:val="ListBullet"/>
        <w:ind w:left="288" w:hanging="173"/>
      </w:pPr>
      <w:r>
        <w:t>Do not add guarantees, audit-pass claims, client-count claims, or unsupported quantified outcomes.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4"/>
      </w:rPr>
      <w:t>Developer implementation document  |  28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6969"/>
        <w:sz w:val="15"/>
      </w:rPr>
      <w:t>CYVELLE CONSULTING  |  DEVELOPER BUILD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veloperNote">
    <w:name w:val="Developer Note"/>
    <w:pPr>
      <w:spacing w:after="80"/>
    </w:pPr>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in/temioyawo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