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2 Readiness</w:t>
      </w:r>
    </w:p>
    <w:p>
      <w:pPr>
        <w:spacing w:after="200"/>
      </w:pPr>
      <w:r>
        <w:rPr>
          <w:i/>
          <w:color w:val="505050"/>
        </w:rPr>
        <w:t>Developer-ready service page transcript | Source: Final Service Transcript Pack, Volume 1</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SOC 2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/services/compliance/soc-2</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SOC 2 Readiness Consulting for SaaS Companies | Cyvelle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SOC 2 readiness support from scope and control design through evidence preparation, remediation, and independent CPA firm coordination.</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r>
        <w:t>SOC 2 Readiness</w:t>
      </w:r>
    </w:p>
    <w:p>
      <w:r>
        <w:t>Build the controls and evidence your SOC 2 examination depends on.</w:t>
      </w:r>
    </w:p>
    <w:p>
      <w:r>
        <w:t>Cyvelle helps service organizations move from customer pressure or an unfinished compliance platform to an evidence-ready SOC 2 program. The work covers scope, Trust Services Criteria decisions, control design, operating evidence, remediation, and coordination with an independent CPA firm.</w:t>
      </w:r>
    </w:p>
    <w:p>
      <w:r>
        <w:rPr>
          <w:b/>
          <w:color w:val="1F4E79"/>
        </w:rPr>
        <w:t>Book a 30-Minute Consultation</w:t>
      </w:r>
    </w:p>
    <w:p>
      <w:pPr>
        <w:pStyle w:val="DeveloperNote"/>
      </w:pPr>
      <w:r>
        <w:t>Secondary link: See what the engagement includes</w:t>
      </w:r>
    </w:p>
    <w:p>
      <w:pPr>
        <w:pStyle w:val="Heading2"/>
      </w:pPr>
      <w:r>
        <w:t>Who this is for</w:t>
      </w:r>
    </w:p>
    <w:p>
      <w:r>
        <w:t>B2B SaaS, technology, data, and service organizations pursuing a first SOC 2 report, moving from Type I to Type II, or repairing a program that has stalled.</w:t>
      </w:r>
    </w:p>
    <w:p>
      <w:pPr>
        <w:pStyle w:val="Heading2"/>
      </w:pPr>
      <w:r>
        <w:t>What brings clients here</w:t>
      </w:r>
    </w:p>
    <w:p>
      <w:r>
        <w:t>A customer or deal requires SOC 2. The deadline arrived before the organization defined scope, selected criteria, assigned owners, or built an evidence plan.</w:t>
      </w:r>
    </w:p>
    <w:p>
      <w:r>
        <w:t>The automation platform shows gaps without resolving them. A tool collects artifacts, but policies, control design, ownership, and operating discipline still require human decisions.</w:t>
      </w:r>
    </w:p>
    <w:p>
      <w:r>
        <w:t>Evidence is inconsistent or late. Control owners do not know what to retain, how often to perform the activity, or how an auditor will evaluate it.</w:t>
      </w:r>
    </w:p>
    <w:p>
      <w:pPr>
        <w:pStyle w:val="Heading2"/>
      </w:pPr>
      <w:r>
        <w:t>Why this matters</w:t>
      </w:r>
    </w:p>
    <w:p>
      <w:r>
        <w:t>A SOC 2 examination addresses controls relevant to security, availability, processing integrity, confidentiality, or privacy under AICPA Trust Services Criteria.</w:t>
      </w:r>
    </w:p>
    <w:p>
      <w:r>
        <w:t>The service organization owns the system description, control design, operation, and evidence. An independent CPA firm performs the examination and issues the report.</w:t>
      </w:r>
    </w:p>
    <w:p>
      <w:r>
        <w:t>Readiness work reduces avoidable findings by testing the control story before the examination period or point-in-time review.</w:t>
      </w:r>
    </w:p>
    <w:p>
      <w:pPr>
        <w:pStyle w:val="Heading2"/>
      </w:pPr>
      <w:r>
        <w:t>What Cyvelle does</w:t>
      </w:r>
    </w:p>
    <w:p>
      <w:r>
        <w:t>Scope and criteria planning. Define the in-scope product, services, systems, locations, people, vendors, data, boundaries, and relevant Trust Services Criteria.</w:t>
      </w:r>
    </w:p>
    <w:p>
      <w:r>
        <w:t>Readiness assessment. Map current controls to selected criteria, test design, review evidence, and identify missing or weak operating practices.</w:t>
      </w:r>
    </w:p>
    <w:p>
      <w:r>
        <w:t>Control and policy implementation. Write or refine control language, policies, procedures, ownership, frequency, and evidence expectations.</w:t>
      </w:r>
    </w:p>
    <w:p>
      <w:r>
        <w:t>Evidence readiness. Build an evidence index, validate samples, improve artifact quality, and align the collection rhythm to the audit period.</w:t>
      </w:r>
    </w:p>
    <w:p>
      <w:r>
        <w:t>Remediation management. Prioritize gaps, track owners and dates, validate closure, and escalate decisions that affect the examination timeline.</w:t>
      </w:r>
    </w:p>
    <w:p>
      <w:r>
        <w:t>CPA firm coordination. Support auditor selection, planning, request lists, walkthroughs, follow-ups, and management responses while preserving independence.</w:t>
      </w:r>
    </w:p>
    <w:p>
      <w:pPr>
        <w:pStyle w:val="Heading2"/>
      </w:pPr>
      <w:r>
        <w:t>What you get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your team</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SOC 2 scope and criteria decision memo</w:t>
            </w:r>
          </w:p>
        </w:tc>
        <w:tc>
          <w:tcPr>
            <w:tcW w:type="dxa" w:w="5083"/>
            <w:tcMar>
              <w:top w:w="90" w:type="dxa"/>
              <w:start w:w="100" w:type="dxa"/>
              <w:bottom w:w="90" w:type="dxa"/>
              <w:end w:w="100" w:type="dxa"/>
            </w:tcMar>
            <w:vAlign w:val="top"/>
          </w:tcPr>
          <w:p>
            <w:pPr>
              <w:spacing w:after="30"/>
            </w:pPr>
            <w:r>
              <w:rPr>
                <w:rFonts w:ascii="Aptos" w:hAnsi="Aptos"/>
                <w:sz w:val="15"/>
              </w:rPr>
              <w:t>Sets the agreed boundary, assumptions, and decisions for the work.</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Control matrix with owners, frequency, and evidence</w:t>
            </w:r>
          </w:p>
        </w:tc>
        <w:tc>
          <w:tcPr>
            <w:tcW w:type="dxa" w:w="5083"/>
            <w:tcMar>
              <w:top w:w="90" w:type="dxa"/>
              <w:start w:w="100" w:type="dxa"/>
              <w:bottom w:w="90" w:type="dxa"/>
              <w:end w:w="100" w:type="dxa"/>
            </w:tcMar>
            <w:vAlign w:val="top"/>
          </w:tcPr>
          <w:p>
            <w:pPr>
              <w:spacing w:after="30"/>
            </w:pPr>
            <w:r>
              <w:rPr>
                <w:rFonts w:ascii="Aptos" w:hAnsi="Aptos"/>
                <w:sz w:val="15"/>
              </w:rPr>
              <w:t>Connects requirements, controls, owners, evidence, and dependencies.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Policy and procedure gap list or updated document set</w:t>
            </w:r>
          </w:p>
        </w:tc>
        <w:tc>
          <w:tcPr>
            <w:tcW w:type="dxa" w:w="5083"/>
            <w:tcMar>
              <w:top w:w="90" w:type="dxa"/>
              <w:start w:w="100" w:type="dxa"/>
              <w:bottom w:w="90" w:type="dxa"/>
              <w:end w:w="100" w:type="dxa"/>
            </w:tcMar>
            <w:vAlign w:val="top"/>
          </w:tcPr>
          <w:p>
            <w:pPr>
              <w:spacing w:after="30"/>
            </w:pPr>
            <w:r>
              <w:rPr>
                <w:rFonts w:ascii="Aptos" w:hAnsi="Aptos"/>
                <w:sz w:val="15"/>
              </w:rPr>
              <w:t>Gives teams a documented operating model aligned to actual practice.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Readiness findings and remediation tracker</w:t>
            </w:r>
          </w:p>
        </w:tc>
        <w:tc>
          <w:tcPr>
            <w:tcW w:type="dxa" w:w="5083"/>
            <w:tcMar>
              <w:top w:w="90" w:type="dxa"/>
              <w:start w:w="100" w:type="dxa"/>
              <w:bottom w:w="90" w:type="dxa"/>
              <w:end w:w="100" w:type="dxa"/>
            </w:tcMar>
            <w:vAlign w:val="top"/>
          </w:tcPr>
          <w:p>
            <w:pPr>
              <w:spacing w:after="30"/>
            </w:pPr>
            <w:r>
              <w:rPr>
                <w:rFonts w:ascii="Aptos" w:hAnsi="Aptos"/>
                <w:sz w:val="15"/>
              </w:rPr>
              <w:t>Provides a working artifact your team keeps and uses after the engagement.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Evidence index and sample-quality review</w:t>
            </w:r>
          </w:p>
        </w:tc>
        <w:tc>
          <w:tcPr>
            <w:tcW w:type="dxa" w:w="5083"/>
            <w:tcMar>
              <w:top w:w="90" w:type="dxa"/>
              <w:start w:w="100" w:type="dxa"/>
              <w:bottom w:w="90" w:type="dxa"/>
              <w:end w:w="100" w:type="dxa"/>
            </w:tcMar>
            <w:vAlign w:val="top"/>
          </w:tcPr>
          <w:p>
            <w:pPr>
              <w:spacing w:after="30"/>
            </w:pPr>
            <w:r>
              <w:rPr>
                <w:rFonts w:ascii="Aptos" w:hAnsi="Aptos"/>
                <w:sz w:val="15"/>
              </w:rPr>
              <w:t>Defines the proof reviewers will expect and improves evidence consistency.</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Examination coordination plan and status reporting</w:t>
            </w:r>
          </w:p>
        </w:tc>
        <w:tc>
          <w:tcPr>
            <w:tcW w:type="dxa" w:w="5083"/>
            <w:tcMar>
              <w:top w:w="90" w:type="dxa"/>
              <w:start w:w="100" w:type="dxa"/>
              <w:bottom w:w="90" w:type="dxa"/>
              <w:end w:w="100" w:type="dxa"/>
            </w:tcMar>
            <w:vAlign w:val="top"/>
          </w:tcPr>
          <w:p>
            <w:pPr>
              <w:spacing w:after="30"/>
            </w:pPr>
            <w:r>
              <w:rPr>
                <w:rFonts w:ascii="Aptos" w:hAnsi="Aptos"/>
                <w:sz w:val="15"/>
              </w:rPr>
              <w:t>Sequences the next actions, owners, dependencies, and review dates.</w:t>
            </w:r>
          </w:p>
        </w:tc>
      </w:tr>
    </w:tbl>
    <w:p>
      <w:pPr>
        <w:pStyle w:val="Heading2"/>
      </w:pPr>
      <w:r>
        <w:t>Expected operating outcomes</w:t>
      </w:r>
    </w:p>
    <w:p>
      <w:r>
        <w:t>A defensible scope tied to the actual service and customer commitments.</w:t>
      </w:r>
    </w:p>
    <w:p>
      <w:r>
        <w:t>Controls written to match how the organization operates.</w:t>
      </w:r>
    </w:p>
    <w:p>
      <w:r>
        <w:t>Evidence owners who know what to produce and when.</w:t>
      </w:r>
    </w:p>
    <w:p>
      <w:r>
        <w:t>A cleaner handoff to the independent CPA firm.</w:t>
      </w:r>
    </w:p>
    <w:p>
      <w:pPr>
        <w:pStyle w:val="Heading2"/>
      </w:pPr>
      <w:r>
        <w:t>How the engagement works</w:t>
      </w:r>
    </w:p>
    <w:p>
      <w:r>
        <w:t>Scope and plan. A 30-minute consultation clarifies the business trigger, scope, deadlines, stakeholders, and the decision the engagement needs to support.</w:t>
      </w:r>
    </w:p>
    <w:p>
      <w:r>
        <w:t>Evidence and assessment. Temi reviews existing documentation and evidence, interviews accountable owners, and tests stated requirements against operating reality.</w:t>
      </w:r>
    </w:p>
    <w:p>
      <w:r>
        <w:t>Remediation and implementation. Gaps become a sequenced plan with owners, evidence expectations, dependencies, and decisions. Implementation support follows the agreed scope.</w:t>
      </w:r>
    </w:p>
    <w:p>
      <w:r>
        <w:t>Readout and handoff. Leadership receives the working artifacts, a decision-ready readout, and the cadence needed to keep the program current.</w:t>
      </w:r>
    </w:p>
    <w:p>
      <w:pPr>
        <w:pStyle w:val="Heading2"/>
        <w:keepNext/>
        <w:pageBreakBefore/>
      </w:pPr>
      <w:r>
        <w:t>Pricing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800"/>
            <w:tcMar>
              <w:top w:w="90" w:type="dxa"/>
              <w:start w:w="100" w:type="dxa"/>
              <w:bottom w:w="90" w:type="dxa"/>
              <w:end w:w="100" w:type="dxa"/>
            </w:tcMar>
            <w:vAlign w:val="top"/>
            <w:shd w:fill="D9EAF7"/>
          </w:tcPr>
          <w:p>
            <w:pPr>
              <w:spacing w:after="30"/>
            </w:pPr>
            <w:r>
              <w:rPr>
                <w:rFonts w:ascii="Aptos" w:hAnsi="Aptos"/>
                <w:b/>
                <w:sz w:val="15"/>
              </w:rPr>
              <w:t>Engagement level</w:t>
            </w:r>
          </w:p>
        </w:tc>
        <w:tc>
          <w:tcPr>
            <w:tcW w:type="dxa" w:w="1656"/>
            <w:tcMar>
              <w:top w:w="90" w:type="dxa"/>
              <w:start w:w="100" w:type="dxa"/>
              <w:bottom w:w="90" w:type="dxa"/>
              <w:end w:w="100" w:type="dxa"/>
            </w:tcMar>
            <w:vAlign w:val="top"/>
            <w:shd w:fill="D9EAF7"/>
          </w:tcPr>
          <w:p>
            <w:pPr>
              <w:spacing w:after="30"/>
            </w:pPr>
            <w:r>
              <w:rPr>
                <w:rFonts w:ascii="Aptos" w:hAnsi="Aptos"/>
                <w:b/>
                <w:sz w:val="15"/>
              </w:rPr>
              <w:t>Public price</w:t>
            </w:r>
          </w:p>
        </w:tc>
        <w:tc>
          <w:tcPr>
            <w:tcW w:type="dxa" w:w="3168"/>
            <w:tcMar>
              <w:top w:w="90" w:type="dxa"/>
              <w:start w:w="100" w:type="dxa"/>
              <w:bottom w:w="90" w:type="dxa"/>
              <w:end w:w="100" w:type="dxa"/>
            </w:tcMar>
            <w:vAlign w:val="top"/>
            <w:shd w:fill="D9EAF7"/>
          </w:tcPr>
          <w:p>
            <w:pPr>
              <w:spacing w:after="30"/>
            </w:pPr>
            <w:r>
              <w:rPr>
                <w:rFonts w:ascii="Aptos" w:hAnsi="Aptos"/>
                <w:b/>
                <w:sz w:val="15"/>
              </w:rPr>
              <w:t>Best fit</w:t>
            </w:r>
          </w:p>
        </w:tc>
        <w:tc>
          <w:tcPr>
            <w:tcW w:type="dxa" w:w="4248"/>
            <w:tcMar>
              <w:top w:w="90" w:type="dxa"/>
              <w:start w:w="100" w:type="dxa"/>
              <w:bottom w:w="90" w:type="dxa"/>
              <w:end w:w="100" w:type="dxa"/>
            </w:tcMar>
            <w:vAlign w:val="top"/>
            <w:shd w:fill="D9EAF7"/>
          </w:tcPr>
          <w:p>
            <w:pPr>
              <w:spacing w:after="30"/>
            </w:pPr>
            <w:r>
              <w:rPr>
                <w:rFonts w:ascii="Aptos" w:hAnsi="Aptos"/>
                <w:b/>
                <w:sz w:val="15"/>
              </w:rPr>
              <w:t>Scope distinction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Readiness Assessment</w:t>
            </w:r>
          </w:p>
        </w:tc>
        <w:tc>
          <w:tcPr>
            <w:tcW w:type="dxa" w:w="1656"/>
            <w:tcMar>
              <w:top w:w="90" w:type="dxa"/>
              <w:start w:w="100" w:type="dxa"/>
              <w:bottom w:w="90" w:type="dxa"/>
              <w:end w:w="100" w:type="dxa"/>
            </w:tcMar>
            <w:vAlign w:val="top"/>
          </w:tcPr>
          <w:p>
            <w:pPr>
              <w:spacing w:after="30"/>
            </w:pPr>
            <w:r>
              <w:rPr>
                <w:rFonts w:ascii="Aptos" w:hAnsi="Aptos"/>
                <w:sz w:val="15"/>
              </w:rPr>
              <w:t>$9,500 fixed</w:t>
            </w:r>
          </w:p>
        </w:tc>
        <w:tc>
          <w:tcPr>
            <w:tcW w:type="dxa" w:w="3168"/>
            <w:tcMar>
              <w:top w:w="90" w:type="dxa"/>
              <w:start w:w="100" w:type="dxa"/>
              <w:bottom w:w="90" w:type="dxa"/>
              <w:end w:w="100" w:type="dxa"/>
            </w:tcMar>
            <w:vAlign w:val="top"/>
          </w:tcPr>
          <w:p>
            <w:pPr>
              <w:spacing w:after="30"/>
            </w:pPr>
            <w:r>
              <w:rPr>
                <w:rFonts w:ascii="Aptos" w:hAnsi="Aptos"/>
                <w:sz w:val="15"/>
              </w:rPr>
              <w:t>Teams that need scope clarity, a control baseline, and a prioritized readiness roadmap.</w:t>
            </w:r>
          </w:p>
        </w:tc>
        <w:tc>
          <w:tcPr>
            <w:tcW w:type="dxa" w:w="4248"/>
            <w:tcMar>
              <w:top w:w="90" w:type="dxa"/>
              <w:start w:w="100" w:type="dxa"/>
              <w:bottom w:w="90" w:type="dxa"/>
              <w:end w:w="100" w:type="dxa"/>
            </w:tcMar>
            <w:vAlign w:val="top"/>
          </w:tcPr>
          <w:p>
            <w:pPr>
              <w:spacing w:after="30"/>
            </w:pPr>
            <w:r>
              <w:rPr>
                <w:rFonts w:ascii="Aptos" w:hAnsi="Aptos"/>
                <w:sz w:val="15"/>
              </w:rPr>
              <w:t>Scope and criteria decision, control mapping, evidence expectations, gap assessment, ownership map, and executive readiness plan.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Type I Readiness</w:t>
            </w:r>
          </w:p>
        </w:tc>
        <w:tc>
          <w:tcPr>
            <w:tcW w:type="dxa" w:w="1656"/>
            <w:tcMar>
              <w:top w:w="90" w:type="dxa"/>
              <w:start w:w="100" w:type="dxa"/>
              <w:bottom w:w="90" w:type="dxa"/>
              <w:end w:w="100" w:type="dxa"/>
            </w:tcMar>
            <w:vAlign w:val="top"/>
          </w:tcPr>
          <w:p>
            <w:pPr>
              <w:spacing w:after="30"/>
            </w:pPr>
            <w:r>
              <w:rPr>
                <w:rFonts w:ascii="Aptos" w:hAnsi="Aptos"/>
                <w:sz w:val="15"/>
              </w:rPr>
              <w:t>$20,000 fixed</w:t>
            </w:r>
          </w:p>
        </w:tc>
        <w:tc>
          <w:tcPr>
            <w:tcW w:type="dxa" w:w="3168"/>
            <w:tcMar>
              <w:top w:w="90" w:type="dxa"/>
              <w:start w:w="100" w:type="dxa"/>
              <w:bottom w:w="90" w:type="dxa"/>
              <w:end w:w="100" w:type="dxa"/>
            </w:tcMar>
            <w:vAlign w:val="top"/>
          </w:tcPr>
          <w:p>
            <w:pPr>
              <w:spacing w:after="30"/>
            </w:pPr>
            <w:r>
              <w:rPr>
                <w:rFonts w:ascii="Aptos" w:hAnsi="Aptos"/>
                <w:sz w:val="15"/>
              </w:rPr>
              <w:t>Organizations preparing for a first point-in-time SOC 2 examination.</w:t>
            </w:r>
          </w:p>
        </w:tc>
        <w:tc>
          <w:tcPr>
            <w:tcW w:type="dxa" w:w="4248"/>
            <w:tcMar>
              <w:top w:w="90" w:type="dxa"/>
              <w:start w:w="100" w:type="dxa"/>
              <w:bottom w:w="90" w:type="dxa"/>
              <w:end w:w="100" w:type="dxa"/>
            </w:tcMar>
            <w:vAlign w:val="top"/>
          </w:tcPr>
          <w:p>
            <w:pPr>
              <w:spacing w:after="30"/>
            </w:pPr>
            <w:r>
              <w:rPr>
                <w:rFonts w:ascii="Aptos" w:hAnsi="Aptos"/>
                <w:sz w:val="15"/>
              </w:rPr>
              <w:t>Readiness assessment plus control and policy implementation support, evidence design, owner coaching, remediation tracking, and CPA-firm handoff.</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Type II Readiness + Observation Support</w:t>
            </w:r>
          </w:p>
        </w:tc>
        <w:tc>
          <w:tcPr>
            <w:tcW w:type="dxa" w:w="1656"/>
            <w:tcMar>
              <w:top w:w="90" w:type="dxa"/>
              <w:start w:w="100" w:type="dxa"/>
              <w:bottom w:w="90" w:type="dxa"/>
              <w:end w:w="100" w:type="dxa"/>
            </w:tcMar>
            <w:vAlign w:val="top"/>
          </w:tcPr>
          <w:p>
            <w:pPr>
              <w:spacing w:after="30"/>
            </w:pPr>
            <w:r>
              <w:rPr>
                <w:rFonts w:ascii="Aptos" w:hAnsi="Aptos"/>
                <w:sz w:val="15"/>
              </w:rPr>
              <w:t>$30,000 fixed</w:t>
            </w:r>
          </w:p>
        </w:tc>
        <w:tc>
          <w:tcPr>
            <w:tcW w:type="dxa" w:w="3168"/>
            <w:tcMar>
              <w:top w:w="90" w:type="dxa"/>
              <w:start w:w="100" w:type="dxa"/>
              <w:bottom w:w="90" w:type="dxa"/>
              <w:end w:w="100" w:type="dxa"/>
            </w:tcMar>
            <w:vAlign w:val="top"/>
          </w:tcPr>
          <w:p>
            <w:pPr>
              <w:spacing w:after="30"/>
            </w:pPr>
            <w:r>
              <w:rPr>
                <w:rFonts w:ascii="Aptos" w:hAnsi="Aptos"/>
                <w:sz w:val="15"/>
              </w:rPr>
              <w:t>Organizations building toward a Type II report and an operating evidence period.</w:t>
            </w:r>
          </w:p>
        </w:tc>
        <w:tc>
          <w:tcPr>
            <w:tcW w:type="dxa" w:w="4248"/>
            <w:tcMar>
              <w:top w:w="90" w:type="dxa"/>
              <w:start w:w="100" w:type="dxa"/>
              <w:bottom w:w="90" w:type="dxa"/>
              <w:end w:w="100" w:type="dxa"/>
            </w:tcMar>
            <w:vAlign w:val="top"/>
          </w:tcPr>
          <w:p>
            <w:pPr>
              <w:spacing w:after="30"/>
            </w:pPr>
            <w:r>
              <w:rPr>
                <w:rFonts w:ascii="Aptos" w:hAnsi="Aptos"/>
                <w:sz w:val="15"/>
              </w:rPr>
              <w:t>Type I readiness foundation plus operating-period QA, evidence review, issue tracking, change monitoring, and examination coordination.</w:t>
            </w:r>
          </w:p>
        </w:tc>
      </w:tr>
    </w:tbl>
    <w:p>
      <w:pPr>
        <w:pStyle w:val="DeveloperNote"/>
      </w:pPr>
      <w:r>
        <w:t>Website treatment: three cards on desktop, stacked cards on mobile. Each card links to Book a 30-Minute Consultation. Final scope is confirmed in the Statement of Work.</w:t>
      </w:r>
    </w:p>
    <w:p>
      <w:pPr>
        <w:pStyle w:val="DeveloperNote"/>
      </w:pPr>
      <w:r>
        <w:t>External audit or certification fees, legal advice, penetration testing, software, technical remediation, travel, production changes, and other third-party costs are separate where applicable.</w:t>
      </w:r>
    </w:p>
    <w:p>
      <w:pPr>
        <w:pStyle w:val="Heading2"/>
      </w:pPr>
      <w:r>
        <w:t>Scope boundaries</w:t>
      </w:r>
    </w:p>
    <w:p>
      <w:r>
        <w:t>Cyvelle prepares your organization for the SOC 2 examination and coordinates handoff; an independent CPA firm performs the examination and issues the report.</w:t>
      </w:r>
    </w:p>
    <w:p>
      <w:r>
        <w:t>Penetration testing, vulnerability scanning, legal review, and managed security services are separate specialist services unless expressly included through a partner.</w:t>
      </w:r>
    </w:p>
    <w:p>
      <w:r>
        <w:t>Readiness does not promise a particular auditor conclusion. Management remains responsible for the controls and representations in the examination.</w:t>
      </w:r>
    </w:p>
    <w:p>
      <w:pPr>
        <w:pStyle w:val="DeveloperNote"/>
      </w:pPr>
      <w:r>
        <w:t>Developer treatment: Use a quiet accordion or shaded note. Keep it visible, but do not let it dominate the page.</w:t>
      </w:r>
    </w:p>
    <w:p>
      <w:pPr>
        <w:pStyle w:val="Heading2"/>
      </w:pPr>
      <w:r>
        <w:t>Why Cyvelle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Founder-led</w:t>
            </w:r>
          </w:p>
        </w:tc>
        <w:tc>
          <w:tcPr>
            <w:tcW w:type="dxa" w:w="5083"/>
            <w:tcMar>
              <w:top w:w="90" w:type="dxa"/>
              <w:start w:w="100" w:type="dxa"/>
              <w:bottom w:w="90" w:type="dxa"/>
              <w:end w:w="100" w:type="dxa"/>
            </w:tcMar>
            <w:vAlign w:val="top"/>
            <w:shd w:fill="D9EAF7"/>
          </w:tcPr>
          <w:p>
            <w:pPr>
              <w:spacing w:after="30"/>
            </w:pPr>
            <w:r>
              <w:rPr>
                <w:rFonts w:ascii="Aptos" w:hAnsi="Aptos"/>
                <w:b/>
                <w:sz w:val="15"/>
              </w:rPr>
              <w:t>20+ years of operating experience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Every engagement is led directly by Temi. The practitioner you meet during scoping stays connected to delivery and executive communication.</w:t>
            </w:r>
          </w:p>
        </w:tc>
        <w:tc>
          <w:tcPr>
            <w:tcW w:type="dxa" w:w="5083"/>
            <w:tcMar>
              <w:top w:w="90" w:type="dxa"/>
              <w:start w:w="100" w:type="dxa"/>
              <w:bottom w:w="90" w:type="dxa"/>
              <w:end w:w="100" w:type="dxa"/>
            </w:tcMar>
            <w:vAlign w:val="top"/>
          </w:tcPr>
          <w:p>
            <w:pPr>
              <w:spacing w:after="30"/>
            </w:pPr>
            <w:r>
              <w:rPr>
                <w:rFonts w:ascii="Aptos" w:hAnsi="Aptos"/>
                <w:sz w:val="15"/>
              </w:rPr>
              <w:t>Temi brings more than 20 years across GRC, cybersecurity, audit, enterprise risk, privacy, cloud, and compliance environments.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Reuse before rebuild</w:t>
            </w:r>
          </w:p>
        </w:tc>
        <w:tc>
          <w:tcPr>
            <w:tcW w:type="dxa" w:w="5083"/>
            <w:tcMar>
              <w:top w:w="90" w:type="dxa"/>
              <w:start w:w="100" w:type="dxa"/>
              <w:bottom w:w="90" w:type="dxa"/>
              <w:end w:w="100" w:type="dxa"/>
            </w:tcMar>
            <w:vAlign w:val="top"/>
          </w:tcPr>
          <w:p>
            <w:pPr>
              <w:spacing w:after="30"/>
            </w:pPr>
            <w:r>
              <w:rPr>
                <w:rFonts w:ascii="Aptos" w:hAnsi="Aptos"/>
                <w:sz w:val="15"/>
              </w:rPr>
              <w:t>Decision-ready reporting</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w:t>
            </w:r>
          </w:p>
        </w:tc>
        <w:tc>
          <w:tcPr>
            <w:tcW w:type="dxa" w:w="5083"/>
            <w:tcMar>
              <w:top w:w="90" w:type="dxa"/>
              <w:start w:w="100" w:type="dxa"/>
              <w:bottom w:w="90" w:type="dxa"/>
              <w:end w:w="100" w:type="dxa"/>
            </w:tcMar>
            <w:vAlign w:val="top"/>
          </w:tcPr>
          <w:p>
            <w:pPr>
              <w:spacing w:after="30"/>
            </w:pPr>
            <w:r>
              <w:rPr>
                <w:rFonts w:ascii="Aptos" w:hAnsi="Aptos"/>
                <w:sz w:val="15"/>
              </w:rPr>
              <w: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Existing policies, controls, assessments, and evidence are mapped first. New work starts where a real gap remains.</w:t>
            </w:r>
          </w:p>
        </w:tc>
        <w:tc>
          <w:tcPr>
            <w:tcW w:type="dxa" w:w="5083"/>
            <w:tcMar>
              <w:top w:w="90" w:type="dxa"/>
              <w:start w:w="100" w:type="dxa"/>
              <w:bottom w:w="90" w:type="dxa"/>
              <w:end w:w="100" w:type="dxa"/>
            </w:tcMar>
            <w:vAlign w:val="top"/>
          </w:tcPr>
          <w:p>
            <w:pPr>
              <w:spacing w:after="30"/>
            </w:pPr>
            <w:r>
              <w:rPr>
                <w:rFonts w:ascii="Aptos" w:hAnsi="Aptos"/>
                <w:sz w:val="15"/>
              </w:rPr>
              <w:t>Leadership receives priorities, owners, dependencies, evidence expectations, and decisions to make, not a gap list without an operating path.</w:t>
            </w:r>
          </w:p>
        </w:tc>
      </w:tr>
    </w:tbl>
    <w:p>
      <w:pPr>
        <w:pStyle w:val="ListBullet"/>
        <w:ind w:left="288" w:hanging="173"/>
      </w:pPr>
      <w:r>
        <w:t>10. Led by Temi</w:t>
      </w:r>
    </w:p>
    <w:p>
      <w:pPr>
        <w:pStyle w:val="ListBullet"/>
        <w:ind w:left="288" w:hanging="173"/>
      </w:pPr>
      <w:r>
        <w:t>Every Cyvelle engagement is led by Temi Oyawoye. Temi brings more than 20 years of experience across governance, risk and compliance, cybersecurity, audit, enterprise risk, privacy, cloud, and emerging AI governance. The work connects requirements to accountable ownership, evidence, executive reporting, and business decisions.</w:t>
      </w:r>
    </w:p>
    <w:p>
      <w:pPr>
        <w:pStyle w:val="ListBullet"/>
        <w:ind w:left="288" w:hanging="173"/>
      </w:pPr>
      <w:r>
        <w:t>CISA | CISM | CRISC | CDPSE | PCI-QSA | MSIS</w:t>
      </w:r>
    </w:p>
    <w:p>
      <w:r>
        <w:t xml:space="preserve">Connect with Temi on LinkedIn: </w:t>
      </w:r>
      <w:hyperlink r:id="rId11">
        <w:r>
          <w:rPr>
            <w:color w:val="2563EB"/>
            <w:u w:val="single"/>
          </w:rPr>
          <w:t>LinkedIn</w:t>
        </w:r>
      </w:hyperlink>
    </w:p>
    <w:p>
      <w:r>
        <w:rPr>
          <w:b/>
          <w:color w:val="1F4E79"/>
        </w:rPr>
        <w:t>Book a 30-Minute Consultation</w:t>
      </w:r>
    </w:p>
    <w:p>
      <w:pPr>
        <w:pStyle w:val="Heading2"/>
      </w:pPr>
      <w:r>
        <w:t>Frequently asked questions</w:t>
      </w:r>
    </w:p>
    <w:p>
      <w:r>
        <w:t>Do we need SOC 2 Type I or Type II?</w:t>
      </w:r>
    </w:p>
    <w:p>
      <w:r>
        <w:t>The right path depends on customer expectations, timing, program maturity, and the assurance needed. Cyvelle documents the tradeoffs and coordinates the decision with the selected CPA firm.</w:t>
      </w:r>
    </w:p>
    <w:p>
      <w:r>
        <w:t>Does a compliance automation platform replace readiness support?</w:t>
      </w:r>
    </w:p>
    <w:p>
      <w:r>
        <w:t>No. The platform helps manage tasks and evidence. People still define scope, interpret criteria, design controls, operate them, resolve exceptions, and present a coherent system description.</w:t>
      </w:r>
    </w:p>
    <w:p>
      <w:r>
        <w:t>Who selects the auditor?</w:t>
      </w:r>
    </w:p>
    <w:p>
      <w:r>
        <w:t>Management selects the independent CPA firm. Cyvelle supports evaluation, scope alignment, scheduling, and coordination while respecting auditor independence.</w:t>
      </w:r>
    </w:p>
    <w:p>
      <w:r>
        <w:t>What happens after the first report?</w:t>
      </w:r>
    </w:p>
    <w:p>
      <w:r>
        <w:t>The program moves into recurring control operation, evidence refresh, change management, issue tracking, and preparation for the next reporting period.</w:t>
      </w:r>
    </w:p>
    <w:p>
      <w:r>
        <w:t>Does readiness guarantee an unmodified report?</w:t>
      </w:r>
    </w:p>
    <w:p>
      <w:r>
        <w:t>No. The independent CPA firm determines its opinion based on the examination. Cyvelle strengthens readiness, evidence quality, and remediation discipline.</w:t>
      </w:r>
    </w:p>
    <w:p>
      <w:r>
        <w:t>12. Related Intelligence and related services</w:t>
      </w:r>
    </w:p>
    <w:p>
      <w:pPr>
        <w:pStyle w:val="Heading2"/>
      </w:pPr>
      <w:r>
        <w:t>Related services:</w:t>
      </w:r>
    </w:p>
    <w:p>
      <w:r>
        <w:t>ISO 27001 Readiness</w:t>
      </w:r>
    </w:p>
    <w:p>
      <w:r>
        <w:t>Virtual CISO</w:t>
      </w:r>
    </w:p>
    <w:p>
      <w:r>
        <w:t>Audit and Certification Coordination</w:t>
      </w:r>
    </w:p>
    <w:p>
      <w:r>
        <w:t>The Governance Blueprint</w:t>
      </w:r>
    </w:p>
    <w:p>
      <w:pPr>
        <w:pStyle w:val="DeveloperNote"/>
      </w:pPr>
      <w:r>
        <w:t>Developer treatment: Hide Related Intelligence until at least two relevant articles are published.</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Developer Implementation Checklist</w:t>
      </w:r>
    </w:p>
    <w:p>
      <w:pPr>
        <w:pStyle w:val="ListBullet"/>
        <w:ind w:left="288" w:hanging="173"/>
      </w:pPr>
      <w:r>
        <w:t>Use the same 30-minute consultation CTA across the site.</w:t>
      </w:r>
    </w:p>
    <w:p>
      <w:pPr>
        <w:pStyle w:val="ListBullet"/>
        <w:ind w:left="288" w:hanging="173"/>
      </w:pPr>
      <w:r>
        <w:t>Use Temi Oyawoye on first mention and in headings; use Temi naturally thereafter.</w:t>
      </w:r>
    </w:p>
    <w:p>
      <w:r>
        <w:t xml:space="preserve">Link the founder module to </w:t>
      </w:r>
      <w:hyperlink r:id="rId11">
        <w:r>
          <w:rPr>
            <w:color w:val="2563EB"/>
            <w:u w:val="single"/>
          </w:rPr>
          <w:t>LinkedIn</w:t>
        </w:r>
      </w:hyperlink>
    </w:p>
    <w:p>
      <w:pPr>
        <w:pStyle w:val="ListBullet"/>
        <w:ind w:left="288" w:hanging="173"/>
      </w:pPr>
      <w:r>
        <w:t>Keep What You Get visually stronger than explanatory framework copy.</w:t>
      </w:r>
    </w:p>
    <w:p>
      <w:pPr>
        <w:pStyle w:val="ListBullet"/>
        <w:ind w:left="288" w:hanging="173"/>
      </w:pPr>
      <w:r>
        <w:t>Use one service-specific engagement process; do not add a duplicate global process underneath it.</w:t>
      </w:r>
    </w:p>
    <w:p>
      <w:pPr>
        <w:pStyle w:val="ListBullet"/>
        <w:ind w:left="288" w:hanging="173"/>
      </w:pPr>
      <w:r>
        <w:t>Do not add a universal Cyvelle-versus-large-firm comparison table.</w:t>
      </w:r>
    </w:p>
    <w:p>
      <w:pPr>
        <w:pStyle w:val="ListBullet"/>
        <w:ind w:left="288" w:hanging="173"/>
      </w:pPr>
      <w:r>
        <w:t>Do not publish guarantees, audit-pass claims, client-count claims, or other performance claims unless separately approved and substantiated.</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temioyawo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