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ISO 27001 Readiness</w:t>
      </w:r>
    </w:p>
    <w:p>
      <w:pPr>
        <w:spacing w:after="200"/>
      </w:pPr>
      <w:r>
        <w:rPr>
          <w:i/>
          <w:color w:val="505050"/>
        </w:rPr>
        <w:t>Developer-ready service page transcript | Source: Final Service Transcript Pack, Volume 1</w:t>
      </w:r>
    </w:p>
    <w:tbl>
      <w:tblPr>
        <w:tblW w:type="auto" w:w="0"/>
        <w:jc w:val="center"/>
        <w:tblLook w:firstColumn="1" w:firstRow="1" w:lastColumn="0" w:lastRow="0" w:noHBand="0" w:noVBand="1" w:val="04A0"/>
      </w:tblPr>
      <w:tblGrid>
        <w:gridCol w:w="10166"/>
      </w:tblGrid>
      <w:tr>
        <w:trPr>
          <w:cantSplit/>
          <w:tblHeader w:val="true"/>
        </w:trPr>
        <w:tc>
          <w:tcPr>
            <w:tcW w:type="dxa" w:w="10166"/>
            <w:shd w:fill="EAF2F8"/>
            <w:tcMar>
              <w:top w:w="120" w:type="dxa"/>
              <w:start w:w="140" w:type="dxa"/>
              <w:bottom w:w="120" w:type="dxa"/>
              <w:end w:w="140" w:type="dxa"/>
            </w:tcMar>
          </w:tcPr>
          <w:p>
            <w:r>
              <w:rPr>
                <w:b/>
                <w:color w:val="17365D"/>
              </w:rPr>
              <w:t>Build status</w:t>
            </w:r>
          </w:p>
          <w:p>
            <w:pPr>
              <w:spacing w:after="0"/>
            </w:pPr>
            <w:r>
              <w:t>This version supersedes earlier no-pricing instructions. Public pricing is approved. Use the pricing section below on this service page. The Governance Blueprint is the sole single-price exception.</w:t>
            </w:r>
          </w:p>
        </w:tc>
      </w:tr>
    </w:tbl>
    <w:p>
      <w:pPr>
        <w:spacing w:after="0"/>
      </w:pP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2016"/>
            <w:tcMar>
              <w:top w:w="90" w:type="dxa"/>
              <w:start w:w="100" w:type="dxa"/>
              <w:bottom w:w="90" w:type="dxa"/>
              <w:end w:w="100" w:type="dxa"/>
            </w:tcMar>
            <w:vAlign w:val="top"/>
            <w:shd w:fill="D9EAF7"/>
          </w:tcPr>
          <w:p>
            <w:pPr>
              <w:spacing w:after="30"/>
            </w:pPr>
            <w:r>
              <w:rPr>
                <w:rFonts w:ascii="Aptos" w:hAnsi="Aptos"/>
                <w:b/>
                <w:sz w:val="16"/>
              </w:rPr>
              <w:t>Build field</w:t>
            </w:r>
          </w:p>
        </w:tc>
        <w:tc>
          <w:tcPr>
            <w:tcW w:type="dxa" w:w="8496"/>
            <w:tcMar>
              <w:top w:w="90" w:type="dxa"/>
              <w:start w:w="100" w:type="dxa"/>
              <w:bottom w:w="90" w:type="dxa"/>
              <w:end w:w="100" w:type="dxa"/>
            </w:tcMar>
            <w:vAlign w:val="top"/>
            <w:shd w:fill="D9EAF7"/>
          </w:tcPr>
          <w:p>
            <w:pPr>
              <w:spacing w:after="30"/>
            </w:pPr>
            <w:r>
              <w:rPr>
                <w:rFonts w:ascii="Aptos" w:hAnsi="Aptos"/>
                <w:b/>
                <w:sz w:val="16"/>
              </w:rPr>
              <w:t>Approved value</w:t>
            </w:r>
          </w:p>
        </w:tc>
      </w:tr>
      <w:tr>
        <w:trPr>
          <w:cantSplit/>
        </w:trPr>
        <w:tc>
          <w:tcPr>
            <w:tcW w:type="dxa" w:w="2016"/>
            <w:tcMar>
              <w:top w:w="90" w:type="dxa"/>
              <w:start w:w="100" w:type="dxa"/>
              <w:bottom w:w="90" w:type="dxa"/>
              <w:end w:w="100" w:type="dxa"/>
            </w:tcMar>
            <w:vAlign w:val="top"/>
          </w:tcPr>
          <w:p>
            <w:pPr>
              <w:spacing w:after="30"/>
            </w:pPr>
            <w:r>
              <w:rPr>
                <w:rFonts w:ascii="Aptos" w:hAnsi="Aptos"/>
                <w:sz w:val="16"/>
              </w:rPr>
              <w:t>Page name</w:t>
            </w:r>
          </w:p>
        </w:tc>
        <w:tc>
          <w:tcPr>
            <w:tcW w:type="dxa" w:w="8496"/>
            <w:tcMar>
              <w:top w:w="90" w:type="dxa"/>
              <w:start w:w="100" w:type="dxa"/>
              <w:bottom w:w="90" w:type="dxa"/>
              <w:end w:w="100" w:type="dxa"/>
            </w:tcMar>
            <w:vAlign w:val="top"/>
          </w:tcPr>
          <w:p>
            <w:pPr>
              <w:spacing w:after="30"/>
            </w:pPr>
            <w:r>
              <w:rPr>
                <w:rFonts w:ascii="Aptos" w:hAnsi="Aptos"/>
                <w:sz w:val="16"/>
              </w:rPr>
              <w:t>ISO 27001 Readiness</w:t>
            </w:r>
          </w:p>
        </w:tc>
      </w:tr>
      <w:tr>
        <w:trPr>
          <w:cantSplit/>
        </w:trPr>
        <w:tc>
          <w:tcPr>
            <w:tcW w:type="dxa" w:w="2016"/>
            <w:tcMar>
              <w:top w:w="90" w:type="dxa"/>
              <w:start w:w="100" w:type="dxa"/>
              <w:bottom w:w="90" w:type="dxa"/>
              <w:end w:w="100" w:type="dxa"/>
            </w:tcMar>
            <w:vAlign w:val="top"/>
          </w:tcPr>
          <w:p>
            <w:pPr>
              <w:spacing w:after="30"/>
            </w:pPr>
            <w:r>
              <w:rPr>
                <w:rFonts w:ascii="Aptos" w:hAnsi="Aptos"/>
                <w:sz w:val="16"/>
              </w:rPr>
              <w:t>URL</w:t>
            </w:r>
          </w:p>
        </w:tc>
        <w:tc>
          <w:tcPr>
            <w:tcW w:type="dxa" w:w="8496"/>
            <w:tcMar>
              <w:top w:w="90" w:type="dxa"/>
              <w:start w:w="100" w:type="dxa"/>
              <w:bottom w:w="90" w:type="dxa"/>
              <w:end w:w="100" w:type="dxa"/>
            </w:tcMar>
            <w:vAlign w:val="top"/>
          </w:tcPr>
          <w:p>
            <w:pPr>
              <w:spacing w:after="30"/>
            </w:pPr>
            <w:r>
              <w:rPr>
                <w:rFonts w:ascii="Aptos" w:hAnsi="Aptos"/>
                <w:sz w:val="16"/>
              </w:rPr>
              <w:t>/services/compliance/iso-27001</w:t>
            </w:r>
          </w:p>
        </w:tc>
      </w:tr>
      <w:tr>
        <w:trPr>
          <w:cantSplit/>
        </w:trPr>
        <w:tc>
          <w:tcPr>
            <w:tcW w:type="dxa" w:w="2016"/>
            <w:tcMar>
              <w:top w:w="90" w:type="dxa"/>
              <w:start w:w="100" w:type="dxa"/>
              <w:bottom w:w="90" w:type="dxa"/>
              <w:end w:w="100" w:type="dxa"/>
            </w:tcMar>
            <w:vAlign w:val="top"/>
          </w:tcPr>
          <w:p>
            <w:pPr>
              <w:spacing w:after="30"/>
            </w:pPr>
            <w:r>
              <w:rPr>
                <w:rFonts w:ascii="Aptos" w:hAnsi="Aptos"/>
                <w:sz w:val="16"/>
              </w:rPr>
              <w:t>SEO title</w:t>
            </w:r>
          </w:p>
        </w:tc>
        <w:tc>
          <w:tcPr>
            <w:tcW w:type="dxa" w:w="8496"/>
            <w:tcMar>
              <w:top w:w="90" w:type="dxa"/>
              <w:start w:w="100" w:type="dxa"/>
              <w:bottom w:w="90" w:type="dxa"/>
              <w:end w:w="100" w:type="dxa"/>
            </w:tcMar>
            <w:vAlign w:val="top"/>
          </w:tcPr>
          <w:p>
            <w:pPr>
              <w:spacing w:after="30"/>
            </w:pPr>
            <w:r>
              <w:rPr>
                <w:rFonts w:ascii="Aptos" w:hAnsi="Aptos"/>
                <w:sz w:val="16"/>
              </w:rPr>
              <w:t>ISO/IEC 27001 Readiness and ISMS Implementation | Cyvelle</w:t>
            </w:r>
          </w:p>
        </w:tc>
      </w:tr>
      <w:tr>
        <w:trPr>
          <w:cantSplit/>
        </w:trPr>
        <w:tc>
          <w:tcPr>
            <w:tcW w:type="dxa" w:w="2016"/>
            <w:tcMar>
              <w:top w:w="90" w:type="dxa"/>
              <w:start w:w="100" w:type="dxa"/>
              <w:bottom w:w="90" w:type="dxa"/>
              <w:end w:w="100" w:type="dxa"/>
            </w:tcMar>
            <w:vAlign w:val="top"/>
          </w:tcPr>
          <w:p>
            <w:pPr>
              <w:spacing w:after="30"/>
            </w:pPr>
            <w:r>
              <w:rPr>
                <w:rFonts w:ascii="Aptos" w:hAnsi="Aptos"/>
                <w:sz w:val="16"/>
              </w:rPr>
              <w:t>Meta description</w:t>
            </w:r>
          </w:p>
        </w:tc>
        <w:tc>
          <w:tcPr>
            <w:tcW w:type="dxa" w:w="8496"/>
            <w:tcMar>
              <w:top w:w="90" w:type="dxa"/>
              <w:start w:w="100" w:type="dxa"/>
              <w:bottom w:w="90" w:type="dxa"/>
              <w:end w:w="100" w:type="dxa"/>
            </w:tcMar>
            <w:vAlign w:val="top"/>
          </w:tcPr>
          <w:p>
            <w:pPr>
              <w:spacing w:after="30"/>
            </w:pPr>
            <w:r>
              <w:rPr>
                <w:rFonts w:ascii="Aptos" w:hAnsi="Aptos"/>
                <w:sz w:val="16"/>
              </w:rPr>
              <w:t>ISO/IEC 27001 readiness and ISMS implementation covering scope, risk, controls, Statement of Applicability, evidence, internal audit, and certification coordination.</w:t>
            </w:r>
          </w:p>
        </w:tc>
      </w:tr>
      <w:tr>
        <w:trPr>
          <w:cantSplit/>
        </w:trPr>
        <w:tc>
          <w:tcPr>
            <w:tcW w:type="dxa" w:w="2016"/>
            <w:tcMar>
              <w:top w:w="90" w:type="dxa"/>
              <w:start w:w="100" w:type="dxa"/>
              <w:bottom w:w="90" w:type="dxa"/>
              <w:end w:w="100" w:type="dxa"/>
            </w:tcMar>
            <w:vAlign w:val="top"/>
          </w:tcPr>
          <w:p>
            <w:pPr>
              <w:spacing w:after="30"/>
            </w:pPr>
            <w:r>
              <w:rPr>
                <w:rFonts w:ascii="Aptos" w:hAnsi="Aptos"/>
                <w:sz w:val="16"/>
              </w:rPr>
              <w:t>Primary keyword</w:t>
            </w:r>
          </w:p>
        </w:tc>
        <w:tc>
          <w:tcPr>
            <w:tcW w:type="dxa" w:w="8496"/>
            <w:tcMar>
              <w:top w:w="90" w:type="dxa"/>
              <w:start w:w="100" w:type="dxa"/>
              <w:bottom w:w="90" w:type="dxa"/>
              <w:end w:w="100" w:type="dxa"/>
            </w:tcMar>
            <w:vAlign w:val="top"/>
          </w:tcPr>
          <w:p>
            <w:pPr>
              <w:spacing w:after="30"/>
            </w:pPr>
            <w:r>
              <w:rPr>
                <w:rFonts w:ascii="Aptos" w:hAnsi="Aptos"/>
                <w:sz w:val="16"/>
              </w:rPr>
            </w:r>
          </w:p>
        </w:tc>
      </w:tr>
      <w:tr>
        <w:trPr>
          <w:cantSplit/>
        </w:trPr>
        <w:tc>
          <w:tcPr>
            <w:tcW w:type="dxa" w:w="2016"/>
            <w:tcMar>
              <w:top w:w="90" w:type="dxa"/>
              <w:start w:w="100" w:type="dxa"/>
              <w:bottom w:w="90" w:type="dxa"/>
              <w:end w:w="100" w:type="dxa"/>
            </w:tcMar>
            <w:vAlign w:val="top"/>
          </w:tcPr>
          <w:p>
            <w:pPr>
              <w:spacing w:after="30"/>
            </w:pPr>
            <w:r>
              <w:rPr>
                <w:rFonts w:ascii="Aptos" w:hAnsi="Aptos"/>
                <w:sz w:val="16"/>
              </w:rPr>
              <w:t>Secondary keywords</w:t>
            </w:r>
          </w:p>
        </w:tc>
        <w:tc>
          <w:tcPr>
            <w:tcW w:type="dxa" w:w="8496"/>
            <w:tcMar>
              <w:top w:w="90" w:type="dxa"/>
              <w:start w:w="100" w:type="dxa"/>
              <w:bottom w:w="90" w:type="dxa"/>
              <w:end w:w="100" w:type="dxa"/>
            </w:tcMar>
            <w:vAlign w:val="top"/>
          </w:tcPr>
          <w:p>
            <w:pPr>
              <w:spacing w:after="30"/>
            </w:pPr>
            <w:r>
              <w:rPr>
                <w:rFonts w:ascii="Aptos" w:hAnsi="Aptos"/>
                <w:sz w:val="16"/>
              </w:rPr>
            </w:r>
          </w:p>
        </w:tc>
      </w:tr>
      <w:tr>
        <w:trPr>
          <w:cantSplit/>
        </w:trPr>
        <w:tc>
          <w:tcPr>
            <w:tcW w:type="dxa" w:w="2016"/>
            <w:tcMar>
              <w:top w:w="90" w:type="dxa"/>
              <w:start w:w="100" w:type="dxa"/>
              <w:bottom w:w="90" w:type="dxa"/>
              <w:end w:w="100" w:type="dxa"/>
            </w:tcMar>
            <w:vAlign w:val="top"/>
          </w:tcPr>
          <w:p>
            <w:pPr>
              <w:spacing w:after="30"/>
            </w:pPr>
            <w:r>
              <w:rPr>
                <w:rFonts w:ascii="Aptos" w:hAnsi="Aptos"/>
                <w:sz w:val="16"/>
              </w:rPr>
              <w:t>Breadcrumb</w:t>
            </w:r>
          </w:p>
        </w:tc>
        <w:tc>
          <w:tcPr>
            <w:tcW w:type="dxa" w:w="8496"/>
            <w:tcMar>
              <w:top w:w="90" w:type="dxa"/>
              <w:start w:w="100" w:type="dxa"/>
              <w:bottom w:w="90" w:type="dxa"/>
              <w:end w:w="100" w:type="dxa"/>
            </w:tcMar>
            <w:vAlign w:val="top"/>
          </w:tcPr>
          <w:p>
            <w:pPr>
              <w:spacing w:after="30"/>
            </w:pPr>
            <w:r>
              <w:rPr>
                <w:rFonts w:ascii="Aptos" w:hAnsi="Aptos"/>
                <w:sz w:val="16"/>
              </w:rPr>
            </w:r>
          </w:p>
        </w:tc>
      </w:tr>
      <w:tr>
        <w:trPr>
          <w:cantSplit/>
        </w:trPr>
        <w:tc>
          <w:tcPr>
            <w:tcW w:type="dxa" w:w="2016"/>
            <w:tcMar>
              <w:top w:w="90" w:type="dxa"/>
              <w:start w:w="100" w:type="dxa"/>
              <w:bottom w:w="90" w:type="dxa"/>
              <w:end w:w="100" w:type="dxa"/>
            </w:tcMar>
            <w:vAlign w:val="top"/>
          </w:tcPr>
          <w:p>
            <w:pPr>
              <w:spacing w:after="30"/>
            </w:pPr>
            <w:r>
              <w:rPr>
                <w:rFonts w:ascii="Aptos" w:hAnsi="Aptos"/>
                <w:sz w:val="16"/>
              </w:rPr>
              <w:t>Primary CTA</w:t>
            </w:r>
          </w:p>
        </w:tc>
        <w:tc>
          <w:tcPr>
            <w:tcW w:type="dxa" w:w="8496"/>
            <w:tcMar>
              <w:top w:w="90" w:type="dxa"/>
              <w:start w:w="100" w:type="dxa"/>
              <w:bottom w:w="90" w:type="dxa"/>
              <w:end w:w="100" w:type="dxa"/>
            </w:tcMar>
            <w:vAlign w:val="top"/>
          </w:tcPr>
          <w:p>
            <w:pPr>
              <w:spacing w:after="30"/>
            </w:pPr>
            <w:r>
              <w:rPr>
                <w:rFonts w:ascii="Aptos" w:hAnsi="Aptos"/>
                <w:sz w:val="16"/>
              </w:rPr>
              <w:t>Book a 30-Minute Consultation</w:t>
            </w:r>
          </w:p>
        </w:tc>
      </w:tr>
    </w:tbl>
    <w:p>
      <w:pPr>
        <w:pStyle w:val="Heading1"/>
      </w:pPr>
      <w:r>
        <w:t>Public Page Transcript</w:t>
      </w:r>
    </w:p>
    <w:p>
      <w:pPr>
        <w:pStyle w:val="Heading2"/>
      </w:pPr>
      <w:r>
        <w:t>Hero</w:t>
      </w:r>
    </w:p>
    <w:p>
      <w:r>
        <w:t>ISO 27001 Readiness</w:t>
      </w:r>
    </w:p>
    <w:p>
      <w:r>
        <w:t>Build an information security management system that operates beyond the certification audit.</w:t>
      </w:r>
    </w:p>
    <w:p>
      <w:r>
        <w:t>Cyvelle helps organizations design, implement, and prepare an ISO/IEC 27001:2022 information security management system. The engagement connects business context, risk, controls, owners, evidence, internal audit, management review, and continual improvement.</w:t>
      </w:r>
    </w:p>
    <w:p>
      <w:r>
        <w:rPr>
          <w:b/>
          <w:color w:val="1F4E79"/>
        </w:rPr>
        <w:t>Book a 30-Minute Consultation</w:t>
      </w:r>
    </w:p>
    <w:p>
      <w:pPr>
        <w:pStyle w:val="DeveloperNote"/>
      </w:pPr>
      <w:r>
        <w:t>Secondary link: See what the engagement includes</w:t>
      </w:r>
    </w:p>
    <w:p>
      <w:pPr>
        <w:pStyle w:val="Heading2"/>
      </w:pPr>
      <w:r>
        <w:t>Who this is for</w:t>
      </w:r>
    </w:p>
    <w:p>
      <w:r>
        <w:t>Technology companies and regulated service providers pursuing ISO/IEC 27001 certification, extending an existing SOC 2 program, or repairing an ISMS that has become documentation-heavy and operationally weak.</w:t>
      </w:r>
    </w:p>
    <w:p>
      <w:pPr>
        <w:pStyle w:val="Heading2"/>
      </w:pPr>
      <w:r>
        <w:t>What brings clients here</w:t>
      </w:r>
    </w:p>
    <w:p>
      <w:r>
        <w:t>Certification is required for market access. A customer, procurement team, parent company, or growth plan requires internationally recognized information security assurance.</w:t>
      </w:r>
    </w:p>
    <w:p>
      <w:r>
        <w:t>The ISMS scope and risk method are unclear. Teams have controls and policies, but they do not share a coherent context, risk process, Statement of Applicability, or performance model.</w:t>
      </w:r>
    </w:p>
    <w:p>
      <w:r>
        <w:t>Documentation exists without operating evidence. Policies were written for the standard, yet owners, recurring activities, records, internal audit, and management review remain incomplete.</w:t>
      </w:r>
    </w:p>
    <w:p>
      <w:pPr>
        <w:pStyle w:val="Heading2"/>
      </w:pPr>
      <w:r>
        <w:t>Why this matters</w:t>
      </w:r>
    </w:p>
    <w:p>
      <w:r>
        <w:t>ISO/IEC 27001 defines requirements for establishing, implementing, maintaining, and continually improving an information security management system.</w:t>
      </w:r>
    </w:p>
    <w:p>
      <w:r>
        <w:t>Certification depends on the management system as a whole, not a checklist of technical controls.</w:t>
      </w:r>
    </w:p>
    <w:p>
      <w:r>
        <w:t>Organizations with SOC 2 or other programs often reuse controls and evidence, but ISO-specific management-system requirements still need explicit ownership and operation.</w:t>
      </w:r>
    </w:p>
    <w:p>
      <w:pPr>
        <w:pStyle w:val="Heading2"/>
      </w:pPr>
      <w:r>
        <w:t>What Cyvelle does</w:t>
      </w:r>
    </w:p>
    <w:p>
      <w:r>
        <w:t>Context, scope, and governance. Define interested parties, internal and external issues, ISMS boundaries, leadership roles, policy, objectives, and decision cadence.</w:t>
      </w:r>
    </w:p>
    <w:p>
      <w:r>
        <w:t>Risk assessment and treatment. Establish the risk method, identify and evaluate information-security risks, select treatment, assign owners, and track residual risk.</w:t>
      </w:r>
    </w:p>
    <w:p>
      <w:r>
        <w:t>Statement of Applicability. Document control applicability, implementation status, justification, ownership, and evidence references.</w:t>
      </w:r>
    </w:p>
    <w:p>
      <w:r>
        <w:t>Control and document implementation. Align policies, procedures, technical practices, people processes, supplier controls, and records to the ISMS design.</w:t>
      </w:r>
    </w:p>
    <w:p>
      <w:r>
        <w:t>Performance and assurance. Define monitoring, measurement, internal audit, nonconformity handling, corrective action, and management-review inputs.</w:t>
      </w:r>
    </w:p>
    <w:p>
      <w:r>
        <w:t>Certification coordination. Support certification-body selection, Stage 1 and Stage 2 planning, evidence preparation, interviews, findings, and corrective action.</w:t>
      </w:r>
    </w:p>
    <w:p>
      <w:pPr>
        <w:pStyle w:val="Heading2"/>
      </w:pPr>
      <w:r>
        <w:t>What you get</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5083"/>
            <w:tcMar>
              <w:top w:w="90" w:type="dxa"/>
              <w:start w:w="100" w:type="dxa"/>
              <w:bottom w:w="90" w:type="dxa"/>
              <w:end w:w="100" w:type="dxa"/>
            </w:tcMar>
            <w:vAlign w:val="top"/>
            <w:shd w:fill="D9EAF7"/>
          </w:tcPr>
          <w:p>
            <w:pPr>
              <w:spacing w:after="30"/>
            </w:pPr>
            <w:r>
              <w:rPr>
                <w:rFonts w:ascii="Aptos" w:hAnsi="Aptos"/>
                <w:b/>
                <w:sz w:val="15"/>
              </w:rPr>
              <w:t>Deliverable</w:t>
            </w:r>
          </w:p>
        </w:tc>
        <w:tc>
          <w:tcPr>
            <w:tcW w:type="dxa" w:w="5083"/>
            <w:tcMar>
              <w:top w:w="90" w:type="dxa"/>
              <w:start w:w="100" w:type="dxa"/>
              <w:bottom w:w="90" w:type="dxa"/>
              <w:end w:w="100" w:type="dxa"/>
            </w:tcMar>
            <w:vAlign w:val="top"/>
            <w:shd w:fill="D9EAF7"/>
          </w:tcPr>
          <w:p>
            <w:pPr>
              <w:spacing w:after="30"/>
            </w:pPr>
            <w:r>
              <w:rPr>
                <w:rFonts w:ascii="Aptos" w:hAnsi="Aptos"/>
                <w:b/>
                <w:sz w:val="15"/>
              </w:rPr>
              <w:t>What it gives your team</w:t>
            </w:r>
          </w:p>
        </w:tc>
      </w:tr>
      <w:tr>
        <w:trPr>
          <w:cantSplit/>
        </w:trPr>
        <w:tc>
          <w:tcPr>
            <w:tcW w:type="dxa" w:w="5083"/>
            <w:tcMar>
              <w:top w:w="90" w:type="dxa"/>
              <w:start w:w="100" w:type="dxa"/>
              <w:bottom w:w="90" w:type="dxa"/>
              <w:end w:w="100" w:type="dxa"/>
            </w:tcMar>
            <w:vAlign w:val="top"/>
          </w:tcPr>
          <w:p>
            <w:pPr>
              <w:spacing w:after="30"/>
            </w:pPr>
            <w:r>
              <w:rPr>
                <w:rFonts w:ascii="Aptos" w:hAnsi="Aptos"/>
                <w:sz w:val="15"/>
              </w:rPr>
              <w:t>ISMS context, scope, governance, and objectives package</w:t>
            </w:r>
          </w:p>
        </w:tc>
        <w:tc>
          <w:tcPr>
            <w:tcW w:type="dxa" w:w="5083"/>
            <w:tcMar>
              <w:top w:w="90" w:type="dxa"/>
              <w:start w:w="100" w:type="dxa"/>
              <w:bottom w:w="90" w:type="dxa"/>
              <w:end w:w="100" w:type="dxa"/>
            </w:tcMar>
            <w:vAlign w:val="top"/>
          </w:tcPr>
          <w:p>
            <w:pPr>
              <w:spacing w:after="30"/>
            </w:pPr>
            <w:r>
              <w:rPr>
                <w:rFonts w:ascii="Aptos" w:hAnsi="Aptos"/>
                <w:sz w:val="15"/>
              </w:rPr>
              <w:t>Sets the agreed boundary, assumptions, and decisions for the work.</w:t>
            </w:r>
          </w:p>
        </w:tc>
      </w:tr>
      <w:tr>
        <w:trPr>
          <w:cantSplit/>
        </w:trPr>
        <w:tc>
          <w:tcPr>
            <w:tcW w:type="dxa" w:w="5083"/>
            <w:tcMar>
              <w:top w:w="90" w:type="dxa"/>
              <w:start w:w="100" w:type="dxa"/>
              <w:bottom w:w="90" w:type="dxa"/>
              <w:end w:w="100" w:type="dxa"/>
            </w:tcMar>
            <w:vAlign w:val="top"/>
          </w:tcPr>
          <w:p>
            <w:pPr>
              <w:spacing w:after="30"/>
            </w:pPr>
            <w:r>
              <w:rPr>
                <w:rFonts w:ascii="Aptos" w:hAnsi="Aptos"/>
                <w:sz w:val="15"/>
              </w:rPr>
              <w:t>Information-security risk methodology and risk register</w:t>
            </w:r>
          </w:p>
        </w:tc>
        <w:tc>
          <w:tcPr>
            <w:tcW w:type="dxa" w:w="5083"/>
            <w:tcMar>
              <w:top w:w="90" w:type="dxa"/>
              <w:start w:w="100" w:type="dxa"/>
              <w:bottom w:w="90" w:type="dxa"/>
              <w:end w:w="100" w:type="dxa"/>
            </w:tcMar>
            <w:vAlign w:val="top"/>
          </w:tcPr>
          <w:p>
            <w:pPr>
              <w:spacing w:after="30"/>
            </w:pPr>
            <w:r>
              <w:rPr>
                <w:rFonts w:ascii="Aptos" w:hAnsi="Aptos"/>
                <w:sz w:val="15"/>
              </w:rPr>
              <w:t>Records risks, gaps, owners, treatment decisions, and status in one place.</w:t>
            </w:r>
          </w:p>
        </w:tc>
      </w:tr>
      <w:tr>
        <w:trPr>
          <w:cantSplit/>
        </w:trPr>
        <w:tc>
          <w:tcPr>
            <w:tcW w:type="dxa" w:w="5083"/>
            <w:tcMar>
              <w:top w:w="90" w:type="dxa"/>
              <w:start w:w="100" w:type="dxa"/>
              <w:bottom w:w="90" w:type="dxa"/>
              <w:end w:w="100" w:type="dxa"/>
            </w:tcMar>
            <w:vAlign w:val="top"/>
          </w:tcPr>
          <w:p>
            <w:pPr>
              <w:spacing w:after="30"/>
            </w:pPr>
            <w:r>
              <w:rPr>
                <w:rFonts w:ascii="Aptos" w:hAnsi="Aptos"/>
                <w:sz w:val="15"/>
              </w:rPr>
              <w:t>Risk treatment plan and Statement of Applicability</w:t>
            </w:r>
          </w:p>
        </w:tc>
        <w:tc>
          <w:tcPr>
            <w:tcW w:type="dxa" w:w="5083"/>
            <w:tcMar>
              <w:top w:w="90" w:type="dxa"/>
              <w:start w:w="100" w:type="dxa"/>
              <w:bottom w:w="90" w:type="dxa"/>
              <w:end w:w="100" w:type="dxa"/>
            </w:tcMar>
            <w:vAlign w:val="top"/>
          </w:tcPr>
          <w:p>
            <w:pPr>
              <w:spacing w:after="30"/>
            </w:pPr>
            <w:r>
              <w:rPr>
                <w:rFonts w:ascii="Aptos" w:hAnsi="Aptos"/>
                <w:sz w:val="15"/>
              </w:rPr>
              <w:t>Sequences the next actions, owners, dependencies, and review dates.</w:t>
            </w:r>
          </w:p>
        </w:tc>
      </w:tr>
      <w:tr>
        <w:trPr>
          <w:cantSplit/>
        </w:trPr>
        <w:tc>
          <w:tcPr>
            <w:tcW w:type="dxa" w:w="5083"/>
            <w:tcMar>
              <w:top w:w="90" w:type="dxa"/>
              <w:start w:w="100" w:type="dxa"/>
              <w:bottom w:w="90" w:type="dxa"/>
              <w:end w:w="100" w:type="dxa"/>
            </w:tcMar>
            <w:vAlign w:val="top"/>
          </w:tcPr>
          <w:p>
            <w:pPr>
              <w:spacing w:after="30"/>
            </w:pPr>
            <w:r>
              <w:rPr>
                <w:rFonts w:ascii="Aptos" w:hAnsi="Aptos"/>
                <w:sz w:val="15"/>
              </w:rPr>
              <w:t>Policy, procedure, control, and evidence matrix</w:t>
            </w:r>
          </w:p>
        </w:tc>
        <w:tc>
          <w:tcPr>
            <w:tcW w:type="dxa" w:w="5083"/>
            <w:tcMar>
              <w:top w:w="90" w:type="dxa"/>
              <w:start w:w="100" w:type="dxa"/>
              <w:bottom w:w="90" w:type="dxa"/>
              <w:end w:w="100" w:type="dxa"/>
            </w:tcMar>
            <w:vAlign w:val="top"/>
          </w:tcPr>
          <w:p>
            <w:pPr>
              <w:spacing w:after="30"/>
            </w:pPr>
            <w:r>
              <w:rPr>
                <w:rFonts w:ascii="Aptos" w:hAnsi="Aptos"/>
                <w:sz w:val="15"/>
              </w:rPr>
              <w:t>Connects requirements, controls, owners, evidence, and dependencies.</w:t>
            </w:r>
          </w:p>
        </w:tc>
      </w:tr>
      <w:tr>
        <w:trPr>
          <w:cantSplit/>
        </w:trPr>
        <w:tc>
          <w:tcPr>
            <w:tcW w:type="dxa" w:w="5083"/>
            <w:tcMar>
              <w:top w:w="90" w:type="dxa"/>
              <w:start w:w="100" w:type="dxa"/>
              <w:bottom w:w="90" w:type="dxa"/>
              <w:end w:w="100" w:type="dxa"/>
            </w:tcMar>
            <w:vAlign w:val="top"/>
          </w:tcPr>
          <w:p>
            <w:pPr>
              <w:spacing w:after="30"/>
            </w:pPr>
            <w:r>
              <w:rPr>
                <w:rFonts w:ascii="Aptos" w:hAnsi="Aptos"/>
                <w:sz w:val="15"/>
              </w:rPr>
              <w:t>Internal audit and management-review readiness package</w:t>
            </w:r>
          </w:p>
        </w:tc>
        <w:tc>
          <w:tcPr>
            <w:tcW w:type="dxa" w:w="5083"/>
            <w:tcMar>
              <w:top w:w="90" w:type="dxa"/>
              <w:start w:w="100" w:type="dxa"/>
              <w:bottom w:w="90" w:type="dxa"/>
              <w:end w:w="100" w:type="dxa"/>
            </w:tcMar>
            <w:vAlign w:val="top"/>
          </w:tcPr>
          <w:p>
            <w:pPr>
              <w:spacing w:after="30"/>
            </w:pPr>
            <w:r>
              <w:rPr>
                <w:rFonts w:ascii="Aptos" w:hAnsi="Aptos"/>
                <w:sz w:val="15"/>
              </w:rPr>
              <w:t>Organizes readiness and coordination with the independent review party.</w:t>
            </w:r>
          </w:p>
        </w:tc>
      </w:tr>
      <w:tr>
        <w:trPr>
          <w:cantSplit/>
        </w:trPr>
        <w:tc>
          <w:tcPr>
            <w:tcW w:type="dxa" w:w="5083"/>
            <w:tcMar>
              <w:top w:w="90" w:type="dxa"/>
              <w:start w:w="100" w:type="dxa"/>
              <w:bottom w:w="90" w:type="dxa"/>
              <w:end w:w="100" w:type="dxa"/>
            </w:tcMar>
            <w:vAlign w:val="top"/>
          </w:tcPr>
          <w:p>
            <w:pPr>
              <w:spacing w:after="30"/>
            </w:pPr>
            <w:r>
              <w:rPr>
                <w:rFonts w:ascii="Aptos" w:hAnsi="Aptos"/>
                <w:sz w:val="15"/>
              </w:rPr>
              <w:t>Certification plan and corrective-action tracker</w:t>
            </w:r>
          </w:p>
        </w:tc>
        <w:tc>
          <w:tcPr>
            <w:tcW w:type="dxa" w:w="5083"/>
            <w:tcMar>
              <w:top w:w="90" w:type="dxa"/>
              <w:start w:w="100" w:type="dxa"/>
              <w:bottom w:w="90" w:type="dxa"/>
              <w:end w:w="100" w:type="dxa"/>
            </w:tcMar>
            <w:vAlign w:val="top"/>
          </w:tcPr>
          <w:p>
            <w:pPr>
              <w:spacing w:after="30"/>
            </w:pPr>
            <w:r>
              <w:rPr>
                <w:rFonts w:ascii="Aptos" w:hAnsi="Aptos"/>
                <w:sz w:val="15"/>
              </w:rPr>
              <w:t>Sequences the next actions, owners, dependencies, and review dates.</w:t>
            </w:r>
          </w:p>
        </w:tc>
      </w:tr>
    </w:tbl>
    <w:p>
      <w:pPr>
        <w:pStyle w:val="Heading2"/>
      </w:pPr>
      <w:r>
        <w:t>Expected operating outcomes</w:t>
      </w:r>
    </w:p>
    <w:p>
      <w:r>
        <w:t>A defined ISMS boundary aligned to business and customer needs.</w:t>
      </w:r>
    </w:p>
    <w:p>
      <w:r>
        <w:t>Risk decisions connected to selected controls and accountable owners.</w:t>
      </w:r>
    </w:p>
    <w:p>
      <w:r>
        <w:t>Evidence of recurring operation, review, and improvement.</w:t>
      </w:r>
    </w:p>
    <w:p>
      <w:r>
        <w:t>A structured handoff to an accredited certification body.</w:t>
      </w:r>
    </w:p>
    <w:p>
      <w:pPr>
        <w:pStyle w:val="Heading2"/>
      </w:pPr>
      <w:r>
        <w:t>How the engagement works</w:t>
      </w:r>
    </w:p>
    <w:p>
      <w:r>
        <w:t>Scope and plan. A 30-minute consultation clarifies the business trigger, scope, deadlines, stakeholders, and the decision the engagement needs to support.</w:t>
      </w:r>
    </w:p>
    <w:p>
      <w:r>
        <w:t>Evidence and assessment. Temi reviews existing documentation and evidence, interviews accountable owners, and tests stated requirements against operating reality.</w:t>
      </w:r>
    </w:p>
    <w:p>
      <w:r>
        <w:t>Remediation and implementation. Gaps become a sequenced plan with owners, evidence expectations, dependencies, and decisions. Implementation support follows the agreed scope.</w:t>
      </w:r>
    </w:p>
    <w:p>
      <w:r>
        <w:t>Readout and handoff. Leadership receives the working artifacts, a decision-ready readout, and the cadence needed to keep the program current.</w:t>
      </w:r>
    </w:p>
    <w:p>
      <w:pPr>
        <w:pStyle w:val="Heading2"/>
        <w:keepNext/>
        <w:pageBreakBefore/>
      </w:pPr>
      <w:r>
        <w:t>Pricing</w:t>
      </w:r>
    </w:p>
    <w:tbl>
      <w:tblPr>
        <w:tblStyle w:val="TableGrid"/>
        <w:tblW w:type="auto" w:w="0"/>
        <w:jc w:val="center"/>
        <w:tblLook w:firstColumn="1" w:firstRow="1" w:lastColumn="0" w:lastRow="0" w:noHBand="0" w:noVBand="1" w:val="04A0"/>
      </w:tblPr>
      <w:tblGrid>
        <w:gridCol w:w="2541"/>
        <w:gridCol w:w="2541"/>
        <w:gridCol w:w="2541"/>
        <w:gridCol w:w="2541"/>
      </w:tblGrid>
      <w:tr>
        <w:trPr>
          <w:cantSplit/>
          <w:tblHeader w:val="true"/>
        </w:trPr>
        <w:tc>
          <w:tcPr>
            <w:tcW w:type="dxa" w:w="1800"/>
            <w:tcMar>
              <w:top w:w="90" w:type="dxa"/>
              <w:start w:w="100" w:type="dxa"/>
              <w:bottom w:w="90" w:type="dxa"/>
              <w:end w:w="100" w:type="dxa"/>
            </w:tcMar>
            <w:vAlign w:val="top"/>
            <w:shd w:fill="D9EAF7"/>
          </w:tcPr>
          <w:p>
            <w:pPr>
              <w:spacing w:after="30"/>
            </w:pPr>
            <w:r>
              <w:rPr>
                <w:rFonts w:ascii="Aptos" w:hAnsi="Aptos"/>
                <w:b/>
                <w:sz w:val="15"/>
              </w:rPr>
              <w:t>Engagement level</w:t>
            </w:r>
          </w:p>
        </w:tc>
        <w:tc>
          <w:tcPr>
            <w:tcW w:type="dxa" w:w="1656"/>
            <w:tcMar>
              <w:top w:w="90" w:type="dxa"/>
              <w:start w:w="100" w:type="dxa"/>
              <w:bottom w:w="90" w:type="dxa"/>
              <w:end w:w="100" w:type="dxa"/>
            </w:tcMar>
            <w:vAlign w:val="top"/>
            <w:shd w:fill="D9EAF7"/>
          </w:tcPr>
          <w:p>
            <w:pPr>
              <w:spacing w:after="30"/>
            </w:pPr>
            <w:r>
              <w:rPr>
                <w:rFonts w:ascii="Aptos" w:hAnsi="Aptos"/>
                <w:b/>
                <w:sz w:val="15"/>
              </w:rPr>
              <w:t>Public price</w:t>
            </w:r>
          </w:p>
        </w:tc>
        <w:tc>
          <w:tcPr>
            <w:tcW w:type="dxa" w:w="3168"/>
            <w:tcMar>
              <w:top w:w="90" w:type="dxa"/>
              <w:start w:w="100" w:type="dxa"/>
              <w:bottom w:w="90" w:type="dxa"/>
              <w:end w:w="100" w:type="dxa"/>
            </w:tcMar>
            <w:vAlign w:val="top"/>
            <w:shd w:fill="D9EAF7"/>
          </w:tcPr>
          <w:p>
            <w:pPr>
              <w:spacing w:after="30"/>
            </w:pPr>
            <w:r>
              <w:rPr>
                <w:rFonts w:ascii="Aptos" w:hAnsi="Aptos"/>
                <w:b/>
                <w:sz w:val="15"/>
              </w:rPr>
              <w:t>Best fit</w:t>
            </w:r>
          </w:p>
        </w:tc>
        <w:tc>
          <w:tcPr>
            <w:tcW w:type="dxa" w:w="4248"/>
            <w:tcMar>
              <w:top w:w="90" w:type="dxa"/>
              <w:start w:w="100" w:type="dxa"/>
              <w:bottom w:w="90" w:type="dxa"/>
              <w:end w:w="100" w:type="dxa"/>
            </w:tcMar>
            <w:vAlign w:val="top"/>
            <w:shd w:fill="D9EAF7"/>
          </w:tcPr>
          <w:p>
            <w:pPr>
              <w:spacing w:after="30"/>
            </w:pPr>
            <w:r>
              <w:rPr>
                <w:rFonts w:ascii="Aptos" w:hAnsi="Aptos"/>
                <w:b/>
                <w:sz w:val="15"/>
              </w:rPr>
              <w:t>Scope distinction</w:t>
            </w:r>
          </w:p>
        </w:tc>
      </w:tr>
      <w:tr>
        <w:trPr>
          <w:cantSplit/>
        </w:trPr>
        <w:tc>
          <w:tcPr>
            <w:tcW w:type="dxa" w:w="1800"/>
            <w:tcMar>
              <w:top w:w="90" w:type="dxa"/>
              <w:start w:w="100" w:type="dxa"/>
              <w:bottom w:w="90" w:type="dxa"/>
              <w:end w:w="100" w:type="dxa"/>
            </w:tcMar>
            <w:vAlign w:val="top"/>
          </w:tcPr>
          <w:p>
            <w:pPr>
              <w:spacing w:after="30"/>
            </w:pPr>
            <w:r>
              <w:rPr>
                <w:rFonts w:ascii="Aptos" w:hAnsi="Aptos"/>
                <w:sz w:val="15"/>
              </w:rPr>
              <w:t>Gap + Scope Assessment</w:t>
            </w:r>
          </w:p>
        </w:tc>
        <w:tc>
          <w:tcPr>
            <w:tcW w:type="dxa" w:w="1656"/>
            <w:tcMar>
              <w:top w:w="90" w:type="dxa"/>
              <w:start w:w="100" w:type="dxa"/>
              <w:bottom w:w="90" w:type="dxa"/>
              <w:end w:w="100" w:type="dxa"/>
            </w:tcMar>
            <w:vAlign w:val="top"/>
          </w:tcPr>
          <w:p>
            <w:pPr>
              <w:spacing w:after="30"/>
            </w:pPr>
            <w:r>
              <w:rPr>
                <w:rFonts w:ascii="Aptos" w:hAnsi="Aptos"/>
                <w:sz w:val="15"/>
              </w:rPr>
              <w:t>From $12,500</w:t>
            </w:r>
          </w:p>
        </w:tc>
        <w:tc>
          <w:tcPr>
            <w:tcW w:type="dxa" w:w="3168"/>
            <w:tcMar>
              <w:top w:w="90" w:type="dxa"/>
              <w:start w:w="100" w:type="dxa"/>
              <w:bottom w:w="90" w:type="dxa"/>
              <w:end w:w="100" w:type="dxa"/>
            </w:tcMar>
            <w:vAlign w:val="top"/>
          </w:tcPr>
          <w:p>
            <w:pPr>
              <w:spacing w:after="30"/>
            </w:pPr>
            <w:r>
              <w:rPr>
                <w:rFonts w:ascii="Aptos" w:hAnsi="Aptos"/>
                <w:sz w:val="15"/>
              </w:rPr>
              <w:t>Organizations that need to establish ISMS scope, current-state gaps, and a certification roadmap.</w:t>
            </w:r>
          </w:p>
        </w:tc>
        <w:tc>
          <w:tcPr>
            <w:tcW w:type="dxa" w:w="4248"/>
            <w:tcMar>
              <w:top w:w="90" w:type="dxa"/>
              <w:start w:w="100" w:type="dxa"/>
              <w:bottom w:w="90" w:type="dxa"/>
              <w:end w:w="100" w:type="dxa"/>
            </w:tcMar>
            <w:vAlign w:val="top"/>
          </w:tcPr>
          <w:p>
            <w:pPr>
              <w:spacing w:after="30"/>
            </w:pPr>
            <w:r>
              <w:rPr>
                <w:rFonts w:ascii="Aptos" w:hAnsi="Aptos"/>
                <w:sz w:val="15"/>
              </w:rPr>
              <w:t>Context and scope, risk-method review, Annex A baseline, Statement of Applicability approach, evidence map, and remediation roadmap.</w:t>
            </w:r>
          </w:p>
        </w:tc>
      </w:tr>
      <w:tr>
        <w:trPr>
          <w:cantSplit/>
        </w:trPr>
        <w:tc>
          <w:tcPr>
            <w:tcW w:type="dxa" w:w="1800"/>
            <w:tcMar>
              <w:top w:w="90" w:type="dxa"/>
              <w:start w:w="100" w:type="dxa"/>
              <w:bottom w:w="90" w:type="dxa"/>
              <w:end w:w="100" w:type="dxa"/>
            </w:tcMar>
            <w:vAlign w:val="top"/>
          </w:tcPr>
          <w:p>
            <w:pPr>
              <w:spacing w:after="30"/>
            </w:pPr>
            <w:r>
              <w:rPr>
                <w:rFonts w:ascii="Aptos" w:hAnsi="Aptos"/>
                <w:sz w:val="15"/>
              </w:rPr>
              <w:t>Full ISMS Readiness</w:t>
            </w:r>
          </w:p>
        </w:tc>
        <w:tc>
          <w:tcPr>
            <w:tcW w:type="dxa" w:w="1656"/>
            <w:tcMar>
              <w:top w:w="90" w:type="dxa"/>
              <w:start w:w="100" w:type="dxa"/>
              <w:bottom w:w="90" w:type="dxa"/>
              <w:end w:w="100" w:type="dxa"/>
            </w:tcMar>
            <w:vAlign w:val="top"/>
          </w:tcPr>
          <w:p>
            <w:pPr>
              <w:spacing w:after="30"/>
            </w:pPr>
            <w:r>
              <w:rPr>
                <w:rFonts w:ascii="Aptos" w:hAnsi="Aptos"/>
                <w:sz w:val="15"/>
              </w:rPr>
              <w:t>From $40,000</w:t>
            </w:r>
          </w:p>
        </w:tc>
        <w:tc>
          <w:tcPr>
            <w:tcW w:type="dxa" w:w="3168"/>
            <w:tcMar>
              <w:top w:w="90" w:type="dxa"/>
              <w:start w:w="100" w:type="dxa"/>
              <w:bottom w:w="90" w:type="dxa"/>
              <w:end w:w="100" w:type="dxa"/>
            </w:tcMar>
            <w:vAlign w:val="top"/>
          </w:tcPr>
          <w:p>
            <w:pPr>
              <w:spacing w:after="30"/>
            </w:pPr>
            <w:r>
              <w:rPr>
                <w:rFonts w:ascii="Aptos" w:hAnsi="Aptos"/>
                <w:sz w:val="15"/>
              </w:rPr>
              <w:t>Organizations building or materially rebuilding an ISO/IEC 27001:2022 ISMS.</w:t>
            </w:r>
          </w:p>
        </w:tc>
        <w:tc>
          <w:tcPr>
            <w:tcW w:type="dxa" w:w="4248"/>
            <w:tcMar>
              <w:top w:w="90" w:type="dxa"/>
              <w:start w:w="100" w:type="dxa"/>
              <w:bottom w:w="90" w:type="dxa"/>
              <w:end w:w="100" w:type="dxa"/>
            </w:tcMar>
            <w:vAlign w:val="top"/>
          </w:tcPr>
          <w:p>
            <w:pPr>
              <w:spacing w:after="30"/>
            </w:pPr>
            <w:r>
              <w:rPr>
                <w:rFonts w:ascii="Aptos" w:hAnsi="Aptos"/>
                <w:sz w:val="15"/>
              </w:rPr>
              <w:t>ISMS design and implementation support, risk assessment, Statement of Applicability, policies and controls, evidence readiness, internal-assurance planning, and certification-body coordination.</w:t>
            </w:r>
          </w:p>
        </w:tc>
      </w:tr>
      <w:tr>
        <w:trPr>
          <w:cantSplit/>
        </w:trPr>
        <w:tc>
          <w:tcPr>
            <w:tcW w:type="dxa" w:w="1800"/>
            <w:tcMar>
              <w:top w:w="90" w:type="dxa"/>
              <w:start w:w="100" w:type="dxa"/>
              <w:bottom w:w="90" w:type="dxa"/>
              <w:end w:w="100" w:type="dxa"/>
            </w:tcMar>
            <w:vAlign w:val="top"/>
          </w:tcPr>
          <w:p>
            <w:pPr>
              <w:spacing w:after="30"/>
            </w:pPr>
            <w:r>
              <w:rPr>
                <w:rFonts w:ascii="Aptos" w:hAnsi="Aptos"/>
                <w:sz w:val="15"/>
              </w:rPr>
              <w:t>Complex / Multi-Entity Readiness</w:t>
            </w:r>
          </w:p>
        </w:tc>
        <w:tc>
          <w:tcPr>
            <w:tcW w:type="dxa" w:w="1656"/>
            <w:tcMar>
              <w:top w:w="90" w:type="dxa"/>
              <w:start w:w="100" w:type="dxa"/>
              <w:bottom w:w="90" w:type="dxa"/>
              <w:end w:w="100" w:type="dxa"/>
            </w:tcMar>
            <w:vAlign w:val="top"/>
          </w:tcPr>
          <w:p>
            <w:pPr>
              <w:spacing w:after="30"/>
            </w:pPr>
            <w:r>
              <w:rPr>
                <w:rFonts w:ascii="Aptos" w:hAnsi="Aptos"/>
                <w:sz w:val="15"/>
              </w:rPr>
              <w:t>From $55,000</w:t>
            </w:r>
          </w:p>
        </w:tc>
        <w:tc>
          <w:tcPr>
            <w:tcW w:type="dxa" w:w="3168"/>
            <w:tcMar>
              <w:top w:w="90" w:type="dxa"/>
              <w:start w:w="100" w:type="dxa"/>
              <w:bottom w:w="90" w:type="dxa"/>
              <w:end w:w="100" w:type="dxa"/>
            </w:tcMar>
            <w:vAlign w:val="top"/>
          </w:tcPr>
          <w:p>
            <w:pPr>
              <w:spacing w:after="30"/>
            </w:pPr>
            <w:r>
              <w:rPr>
                <w:rFonts w:ascii="Aptos" w:hAnsi="Aptos"/>
                <w:sz w:val="15"/>
              </w:rPr>
              <w:t>Multi-entity, multi-product, international, or dual-framework programs with greater governance complexity.</w:t>
            </w:r>
          </w:p>
        </w:tc>
        <w:tc>
          <w:tcPr>
            <w:tcW w:type="dxa" w:w="4248"/>
            <w:tcMar>
              <w:top w:w="90" w:type="dxa"/>
              <w:start w:w="100" w:type="dxa"/>
              <w:bottom w:w="90" w:type="dxa"/>
              <w:end w:w="100" w:type="dxa"/>
            </w:tcMar>
            <w:vAlign w:val="top"/>
          </w:tcPr>
          <w:p>
            <w:pPr>
              <w:spacing w:after="30"/>
            </w:pPr>
            <w:r>
              <w:rPr>
                <w:rFonts w:ascii="Aptos" w:hAnsi="Aptos"/>
                <w:sz w:val="15"/>
              </w:rPr>
              <w:t>Expanded scope design, multi-entity control architecture, cross-framework reuse, larger evidence model, coordinated assurance plan, and executive governance.</w:t>
            </w:r>
          </w:p>
        </w:tc>
      </w:tr>
    </w:tbl>
    <w:p>
      <w:pPr>
        <w:pStyle w:val="DeveloperNote"/>
      </w:pPr>
      <w:r>
        <w:t>Website treatment: three cards on desktop, stacked cards on mobile. Each card links to Book a 30-Minute Consultation. Final scope is confirmed in the Statement of Work.</w:t>
      </w:r>
    </w:p>
    <w:p>
      <w:pPr>
        <w:pStyle w:val="DeveloperNote"/>
      </w:pPr>
      <w:r>
        <w:t>External audit or certification fees, legal advice, penetration testing, software, technical remediation, travel, production changes, and other third-party costs are separate where applicable.</w:t>
      </w:r>
    </w:p>
    <w:p>
      <w:pPr>
        <w:pStyle w:val="Heading2"/>
      </w:pPr>
      <w:r>
        <w:t>Scope boundaries</w:t>
      </w:r>
    </w:p>
    <w:p>
      <w:r>
        <w:t>Cyvelle designs and prepares the ISMS for certification; an accredited independent certification body performs the certification audit and makes the certification decision.</w:t>
      </w:r>
    </w:p>
    <w:p>
      <w:r>
        <w:t>Cyvelle does not reproduce copyrighted ISO standard text in client materials. The organization must obtain lawful access to the applicable standard.</w:t>
      </w:r>
    </w:p>
    <w:p>
      <w:r>
        <w:t>Internal-audit independence and certification-body impartiality requirements shape who performs each activity.</w:t>
      </w:r>
    </w:p>
    <w:p>
      <w:pPr>
        <w:pStyle w:val="DeveloperNote"/>
      </w:pPr>
      <w:r>
        <w:t>Developer treatment: Use a quiet accordion or shaded note. Keep it visible, but do not let it dominate the page.</w:t>
      </w:r>
    </w:p>
    <w:p>
      <w:pPr>
        <w:pStyle w:val="Heading2"/>
      </w:pPr>
      <w:r>
        <w:t>Why Cyvelle</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5083"/>
            <w:tcMar>
              <w:top w:w="90" w:type="dxa"/>
              <w:start w:w="100" w:type="dxa"/>
              <w:bottom w:w="90" w:type="dxa"/>
              <w:end w:w="100" w:type="dxa"/>
            </w:tcMar>
            <w:vAlign w:val="top"/>
            <w:shd w:fill="D9EAF7"/>
          </w:tcPr>
          <w:p>
            <w:pPr>
              <w:spacing w:after="30"/>
            </w:pPr>
            <w:r>
              <w:rPr>
                <w:rFonts w:ascii="Aptos" w:hAnsi="Aptos"/>
                <w:b/>
                <w:sz w:val="15"/>
              </w:rPr>
              <w:t>Founder-led</w:t>
            </w:r>
          </w:p>
        </w:tc>
        <w:tc>
          <w:tcPr>
            <w:tcW w:type="dxa" w:w="5083"/>
            <w:tcMar>
              <w:top w:w="90" w:type="dxa"/>
              <w:start w:w="100" w:type="dxa"/>
              <w:bottom w:w="90" w:type="dxa"/>
              <w:end w:w="100" w:type="dxa"/>
            </w:tcMar>
            <w:vAlign w:val="top"/>
            <w:shd w:fill="D9EAF7"/>
          </w:tcPr>
          <w:p>
            <w:pPr>
              <w:spacing w:after="30"/>
            </w:pPr>
            <w:r>
              <w:rPr>
                <w:rFonts w:ascii="Aptos" w:hAnsi="Aptos"/>
                <w:b/>
                <w:sz w:val="15"/>
              </w:rPr>
              <w:t>20+ years of operating experience</w:t>
            </w:r>
          </w:p>
        </w:tc>
      </w:tr>
      <w:tr>
        <w:trPr>
          <w:cantSplit/>
        </w:trPr>
        <w:tc>
          <w:tcPr>
            <w:tcW w:type="dxa" w:w="5083"/>
            <w:tcMar>
              <w:top w:w="90" w:type="dxa"/>
              <w:start w:w="100" w:type="dxa"/>
              <w:bottom w:w="90" w:type="dxa"/>
              <w:end w:w="100" w:type="dxa"/>
            </w:tcMar>
            <w:vAlign w:val="top"/>
          </w:tcPr>
          <w:p>
            <w:pPr>
              <w:spacing w:after="30"/>
            </w:pPr>
            <w:r>
              <w:rPr>
                <w:rFonts w:ascii="Aptos" w:hAnsi="Aptos"/>
                <w:sz w:val="15"/>
              </w:rPr>
              <w:t>Every engagement is led directly by Temi. The practitioner you meet during scoping stays connected to delivery and executive communication.</w:t>
            </w:r>
          </w:p>
        </w:tc>
        <w:tc>
          <w:tcPr>
            <w:tcW w:type="dxa" w:w="5083"/>
            <w:tcMar>
              <w:top w:w="90" w:type="dxa"/>
              <w:start w:w="100" w:type="dxa"/>
              <w:bottom w:w="90" w:type="dxa"/>
              <w:end w:w="100" w:type="dxa"/>
            </w:tcMar>
            <w:vAlign w:val="top"/>
          </w:tcPr>
          <w:p>
            <w:pPr>
              <w:spacing w:after="30"/>
            </w:pPr>
            <w:r>
              <w:rPr>
                <w:rFonts w:ascii="Aptos" w:hAnsi="Aptos"/>
                <w:sz w:val="15"/>
              </w:rPr>
              <w:t>Temi brings more than 20 years across GRC, cybersecurity, audit, enterprise risk, privacy, cloud, and compliance environments.</w:t>
            </w:r>
          </w:p>
        </w:tc>
      </w:tr>
      <w:tr>
        <w:trPr>
          <w:cantSplit/>
        </w:trPr>
        <w:tc>
          <w:tcPr>
            <w:tcW w:type="dxa" w:w="5083"/>
            <w:tcMar>
              <w:top w:w="90" w:type="dxa"/>
              <w:start w:w="100" w:type="dxa"/>
              <w:bottom w:w="90" w:type="dxa"/>
              <w:end w:w="100" w:type="dxa"/>
            </w:tcMar>
            <w:vAlign w:val="top"/>
          </w:tcPr>
          <w:p>
            <w:pPr>
              <w:spacing w:after="30"/>
            </w:pPr>
            <w:r>
              <w:rPr>
                <w:rFonts w:ascii="Aptos" w:hAnsi="Aptos"/>
                <w:sz w:val="15"/>
              </w:rPr>
              <w:t>Reuse before rebuild</w:t>
            </w:r>
          </w:p>
        </w:tc>
        <w:tc>
          <w:tcPr>
            <w:tcW w:type="dxa" w:w="5083"/>
            <w:tcMar>
              <w:top w:w="90" w:type="dxa"/>
              <w:start w:w="100" w:type="dxa"/>
              <w:bottom w:w="90" w:type="dxa"/>
              <w:end w:w="100" w:type="dxa"/>
            </w:tcMar>
            <w:vAlign w:val="top"/>
          </w:tcPr>
          <w:p>
            <w:pPr>
              <w:spacing w:after="30"/>
            </w:pPr>
            <w:r>
              <w:rPr>
                <w:rFonts w:ascii="Aptos" w:hAnsi="Aptos"/>
                <w:sz w:val="15"/>
              </w:rPr>
              <w:t>Decision-ready reporting</w:t>
            </w:r>
          </w:p>
        </w:tc>
      </w:tr>
      <w:tr>
        <w:trPr>
          <w:cantSplit/>
        </w:trPr>
        <w:tc>
          <w:tcPr>
            <w:tcW w:type="dxa" w:w="5083"/>
            <w:tcMar>
              <w:top w:w="90" w:type="dxa"/>
              <w:start w:w="100" w:type="dxa"/>
              <w:bottom w:w="90" w:type="dxa"/>
              <w:end w:w="100" w:type="dxa"/>
            </w:tcMar>
            <w:vAlign w:val="top"/>
          </w:tcPr>
          <w:p>
            <w:pPr>
              <w:spacing w:after="30"/>
            </w:pPr>
            <w:r>
              <w:rPr>
                <w:rFonts w:ascii="Aptos" w:hAnsi="Aptos"/>
                <w:sz w:val="15"/>
              </w:rPr>
              <w:t>---</w:t>
            </w:r>
          </w:p>
        </w:tc>
        <w:tc>
          <w:tcPr>
            <w:tcW w:type="dxa" w:w="5083"/>
            <w:tcMar>
              <w:top w:w="90" w:type="dxa"/>
              <w:start w:w="100" w:type="dxa"/>
              <w:bottom w:w="90" w:type="dxa"/>
              <w:end w:w="100" w:type="dxa"/>
            </w:tcMar>
            <w:vAlign w:val="top"/>
          </w:tcPr>
          <w:p>
            <w:pPr>
              <w:spacing w:after="30"/>
            </w:pPr>
            <w:r>
              <w:rPr>
                <w:rFonts w:ascii="Aptos" w:hAnsi="Aptos"/>
                <w:sz w:val="15"/>
              </w:rPr>
              <w:t>---</w:t>
            </w:r>
          </w:p>
        </w:tc>
      </w:tr>
      <w:tr>
        <w:trPr>
          <w:cantSplit/>
        </w:trPr>
        <w:tc>
          <w:tcPr>
            <w:tcW w:type="dxa" w:w="5083"/>
            <w:tcMar>
              <w:top w:w="90" w:type="dxa"/>
              <w:start w:w="100" w:type="dxa"/>
              <w:bottom w:w="90" w:type="dxa"/>
              <w:end w:w="100" w:type="dxa"/>
            </w:tcMar>
            <w:vAlign w:val="top"/>
          </w:tcPr>
          <w:p>
            <w:pPr>
              <w:spacing w:after="30"/>
            </w:pPr>
            <w:r>
              <w:rPr>
                <w:rFonts w:ascii="Aptos" w:hAnsi="Aptos"/>
                <w:sz w:val="15"/>
              </w:rPr>
              <w:t>Existing policies, controls, assessments, and evidence are mapped first. New work starts where a real gap remains.</w:t>
            </w:r>
          </w:p>
        </w:tc>
        <w:tc>
          <w:tcPr>
            <w:tcW w:type="dxa" w:w="5083"/>
            <w:tcMar>
              <w:top w:w="90" w:type="dxa"/>
              <w:start w:w="100" w:type="dxa"/>
              <w:bottom w:w="90" w:type="dxa"/>
              <w:end w:w="100" w:type="dxa"/>
            </w:tcMar>
            <w:vAlign w:val="top"/>
          </w:tcPr>
          <w:p>
            <w:pPr>
              <w:spacing w:after="30"/>
            </w:pPr>
            <w:r>
              <w:rPr>
                <w:rFonts w:ascii="Aptos" w:hAnsi="Aptos"/>
                <w:sz w:val="15"/>
              </w:rPr>
              <w:t>Leadership receives priorities, owners, dependencies, evidence expectations, and decisions to make, not a gap list without an operating path.</w:t>
            </w:r>
          </w:p>
        </w:tc>
      </w:tr>
    </w:tbl>
    <w:p>
      <w:pPr>
        <w:pStyle w:val="ListBullet"/>
        <w:ind w:left="288" w:hanging="173"/>
      </w:pPr>
      <w:r>
        <w:t>10. Led by Temi</w:t>
      </w:r>
    </w:p>
    <w:p>
      <w:pPr>
        <w:pStyle w:val="ListBullet"/>
        <w:ind w:left="288" w:hanging="173"/>
      </w:pPr>
      <w:r>
        <w:t>Every Cyvelle engagement is led by Temi Oyawoye. Temi brings more than 20 years of experience across governance, risk and compliance, cybersecurity, audit, enterprise risk, privacy, cloud, and emerging AI governance. The work connects requirements to accountable ownership, evidence, executive reporting, and business decisions.</w:t>
      </w:r>
    </w:p>
    <w:p>
      <w:pPr>
        <w:pStyle w:val="ListBullet"/>
        <w:ind w:left="288" w:hanging="173"/>
      </w:pPr>
      <w:r>
        <w:t>CISA | CISM | CRISC | CDPSE | PCI-QSA | MSIS</w:t>
      </w:r>
    </w:p>
    <w:p>
      <w:r>
        <w:t xml:space="preserve">Connect with Temi on LinkedIn: </w:t>
      </w:r>
      <w:hyperlink r:id="rId11">
        <w:r>
          <w:rPr>
            <w:color w:val="2563EB"/>
            <w:u w:val="single"/>
          </w:rPr>
          <w:t>LinkedIn</w:t>
        </w:r>
      </w:hyperlink>
    </w:p>
    <w:p>
      <w:r>
        <w:rPr>
          <w:b/>
          <w:color w:val="1F4E79"/>
        </w:rPr>
        <w:t>Book a 30-Minute Consultation</w:t>
      </w:r>
    </w:p>
    <w:p>
      <w:pPr>
        <w:pStyle w:val="Heading2"/>
      </w:pPr>
      <w:r>
        <w:t>Frequently asked questions</w:t>
      </w:r>
    </w:p>
    <w:p>
      <w:r>
        <w:t>Is ISO 27001 the same as SOC 2?</w:t>
      </w:r>
    </w:p>
    <w:p>
      <w:r>
        <w:t>No. ISO/IEC 27001 is a certifiable information-security management-system standard. SOC 2 is an AICPA attestation report on controls at a service organization. Controls often overlap, but scope, governance, evidence, and reporting differ.</w:t>
      </w:r>
    </w:p>
    <w:p>
      <w:r>
        <w:t>Will our SOC 2 work transfer?</w:t>
      </w:r>
    </w:p>
    <w:p>
      <w:r>
        <w:t>Much of the control design and evidence often transfers. Cyvelle maps reusable material first, then addresses ISO-specific context, risk, Statement of Applicability, internal audit, management review, and continual-improvement needs.</w:t>
      </w:r>
    </w:p>
    <w:p>
      <w:r>
        <w:t>Do we need an internal audit before certification?</w:t>
      </w:r>
    </w:p>
    <w:p>
      <w:r>
        <w:t>The ISMS must complete required internal-audit and management-review activities before the certification path is ready. The engagement plans these activities with appropriate independence.</w:t>
      </w:r>
    </w:p>
    <w:p>
      <w:r>
        <w:t>Who chooses the certification body?</w:t>
      </w:r>
    </w:p>
    <w:p>
      <w:r>
        <w:t>Management selects the certification body. Cyvelle supports evaluation, scope alignment, scheduling, and readiness coordination.</w:t>
      </w:r>
    </w:p>
    <w:p>
      <w:r>
        <w:t>What happens after certification?</w:t>
      </w:r>
    </w:p>
    <w:p>
      <w:r>
        <w:t>The ISMS continues through recurring risk reviews, control operation, monitoring, internal audit, management review, corrective action, and surveillance audits.</w:t>
      </w:r>
    </w:p>
    <w:p>
      <w:r>
        <w:t>12. Related Intelligence and related services</w:t>
      </w:r>
    </w:p>
    <w:p>
      <w:pPr>
        <w:pStyle w:val="Heading2"/>
      </w:pPr>
      <w:r>
        <w:t>Related services:</w:t>
      </w:r>
    </w:p>
    <w:p>
      <w:r>
        <w:t>ISO 42001 Readiness</w:t>
      </w:r>
    </w:p>
    <w:p>
      <w:r>
        <w:t>SOC 2 Readiness</w:t>
      </w:r>
    </w:p>
    <w:p>
      <w:r>
        <w:t>Audit and Certification Coordination</w:t>
      </w:r>
    </w:p>
    <w:p>
      <w:r>
        <w:t>The Governance Blueprint</w:t>
      </w:r>
    </w:p>
    <w:p>
      <w:pPr>
        <w:pStyle w:val="DeveloperNote"/>
      </w:pPr>
      <w:r>
        <w:t>Developer treatment: Hide Related Intelligence until at least two relevant articles are published.</w:t>
      </w:r>
    </w:p>
    <w:p>
      <w:pPr>
        <w:pStyle w:val="Heading2"/>
      </w:pPr>
      <w:r>
        <w:t>Final call to action</w:t>
      </w:r>
    </w:p>
    <w:p>
      <w:r>
        <w:t>Ready to clarify the right path?</w:t>
      </w:r>
    </w:p>
    <w:p>
      <w:r>
        <w:t>Bring the business trigger, deadline, and current challenge. Cyvelle will confirm whether this is the right starting point and what the next decision should be.</w:t>
      </w:r>
    </w:p>
    <w:p>
      <w:r>
        <w:rPr>
          <w:b/>
          <w:color w:val="1F4E79"/>
        </w:rPr>
        <w:t>Book a 30-Minute Consultation</w:t>
      </w:r>
    </w:p>
    <w:p>
      <w:pPr>
        <w:pStyle w:val="DeveloperNote"/>
      </w:pPr>
      <w:r>
        <w:t>Recommended form fields: Name | Work email | Company | Service | Message</w:t>
      </w:r>
    </w:p>
    <w:p>
      <w:pPr>
        <w:pStyle w:val="Heading2"/>
      </w:pPr>
      <w:r>
        <w:t>Developer Implementation Checklist</w:t>
      </w:r>
    </w:p>
    <w:p>
      <w:pPr>
        <w:pStyle w:val="ListBullet"/>
        <w:ind w:left="288" w:hanging="173"/>
      </w:pPr>
      <w:r>
        <w:t>Use the same 30-minute consultation CTA across the site.</w:t>
      </w:r>
    </w:p>
    <w:p>
      <w:pPr>
        <w:pStyle w:val="ListBullet"/>
        <w:ind w:left="288" w:hanging="173"/>
      </w:pPr>
      <w:r>
        <w:t>Use Temi Oyawoye on first mention and in headings; use Temi naturally thereafter.</w:t>
      </w:r>
    </w:p>
    <w:p>
      <w:r>
        <w:t xml:space="preserve">Link the founder module to </w:t>
      </w:r>
      <w:hyperlink r:id="rId11">
        <w:r>
          <w:rPr>
            <w:color w:val="2563EB"/>
            <w:u w:val="single"/>
          </w:rPr>
          <w:t>LinkedIn</w:t>
        </w:r>
      </w:hyperlink>
    </w:p>
    <w:p>
      <w:pPr>
        <w:pStyle w:val="ListBullet"/>
        <w:ind w:left="288" w:hanging="173"/>
      </w:pPr>
      <w:r>
        <w:t>Keep What You Get visually stronger than explanatory framework copy.</w:t>
      </w:r>
    </w:p>
    <w:p>
      <w:pPr>
        <w:pStyle w:val="ListBullet"/>
        <w:ind w:left="288" w:hanging="173"/>
      </w:pPr>
      <w:r>
        <w:t>Use one service-specific engagement process; do not add a duplicate global process underneath it.</w:t>
      </w:r>
    </w:p>
    <w:p>
      <w:pPr>
        <w:pStyle w:val="ListBullet"/>
        <w:ind w:left="288" w:hanging="173"/>
      </w:pPr>
      <w:r>
        <w:t>Do not add a universal Cyvelle-versus-large-firm comparison table.</w:t>
      </w:r>
    </w:p>
    <w:p>
      <w:pPr>
        <w:pStyle w:val="ListBullet"/>
        <w:ind w:left="288" w:hanging="173"/>
      </w:pPr>
      <w:r>
        <w:t>Do not publish guarantees, audit-pass claims, client-count claims, or other performance claims unless separately approved and substantiated.</w:t>
      </w:r>
    </w:p>
    <w:p>
      <w:pPr>
        <w:pStyle w:val="Heading2"/>
      </w:pPr>
      <w:r>
        <w:t>Final Developer Rules</w:t>
      </w:r>
    </w:p>
    <w:p>
      <w:pPr>
        <w:pStyle w:val="ListBullet"/>
        <w:ind w:left="288" w:hanging="173"/>
      </w:pPr>
      <w:r>
        <w:t>Keep the sticky header CTA as Book a 30-Minute Consultation.</w:t>
      </w:r>
    </w:p>
    <w:p>
      <w:pPr>
        <w:pStyle w:val="ListBullet"/>
        <w:ind w:left="288" w:hanging="173"/>
      </w:pPr>
      <w:r>
        <w:t>Render What You Get as a high-contrast deliverables table or card grid.</w:t>
      </w:r>
    </w:p>
    <w:p>
      <w:pPr>
        <w:pStyle w:val="ListBullet"/>
        <w:ind w:left="288" w:hanging="173"/>
      </w:pPr>
      <w:r>
        <w:t>Render pricing as three cards on desktop and stacked cards on mobile. The Governance Blueprint uses one fixed-price block.</w:t>
      </w:r>
    </w:p>
    <w:p>
      <w:pPr>
        <w:pStyle w:val="ListBullet"/>
        <w:ind w:left="288" w:hanging="173"/>
      </w:pPr>
      <w:r>
        <w:t>Do not expose internal professional-hour guardrails, capacity ceilings, or internal delivery constraints from the Pricing, Scope &amp; Delivery Guide.</w:t>
      </w:r>
    </w:p>
    <w:p>
      <w:pPr>
        <w:pStyle w:val="ListBullet"/>
        <w:ind w:left="288" w:hanging="173"/>
      </w:pPr>
      <w:r>
        <w:t>Use one service-specific process only. Do not add a duplicate global process underneath it.</w:t>
      </w:r>
    </w:p>
    <w:p>
      <w:pPr>
        <w:pStyle w:val="ListBullet"/>
        <w:ind w:left="288" w:hanging="173"/>
      </w:pPr>
      <w:r>
        <w:t>Place Important Scope Information after process and pricing, and before Why Cyvelle, founder module, and FAQ.</w:t>
      </w:r>
    </w:p>
    <w:p>
      <w:pPr>
        <w:pStyle w:val="ListBullet"/>
        <w:ind w:left="288" w:hanging="173"/>
      </w:pPr>
      <w:r>
        <w:t>Use Temi Oyawoye on first mention and in headings. Use Temi naturally thereafter.</w:t>
      </w:r>
    </w:p>
    <w:p>
      <w:pPr>
        <w:pStyle w:val="ListBullet"/>
        <w:ind w:left="288" w:hanging="173"/>
      </w:pPr>
      <w:r>
        <w:t>Founder module links to About and LinkedIn.</w:t>
      </w:r>
    </w:p>
    <w:p>
      <w:pPr>
        <w:pStyle w:val="ListBullet"/>
        <w:ind w:left="288" w:hanging="173"/>
      </w:pPr>
      <w:r>
        <w:t>Hide Related Intelligence until at least two relevant items are live.</w:t>
      </w:r>
    </w:p>
    <w:p>
      <w:pPr>
        <w:pStyle w:val="ListBullet"/>
        <w:ind w:left="288" w:hanging="173"/>
      </w:pPr>
      <w:r>
        <w:t>Do not add guarantees, audit-pass claims, client-count claims, or unsupported quantified outcomes.</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787878"/>
        <w:sz w:val="14"/>
      </w:rPr>
      <w:t>Developer implementation document  |  28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96969"/>
        <w:sz w:val="15"/>
      </w:rPr>
      <w:t>CYVELLE CONSULTING  |  DEVELOPER BUILD HANDOFF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2"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1F4E79"/>
      <w:sz w:val="27"/>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Aptos" w:hAnsi="Aptos"/>
      <w:b/>
      <w:bCs/>
      <w:color w:val="2F559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eveloperNote">
    <w:name w:val="Developer Note"/>
    <w:pPr>
      <w:spacing w:after="80"/>
    </w:pPr>
    <w:rPr>
      <w:rFonts w:ascii="Aptos" w:hAnsi="Aptos"/>
      <w:i/>
      <w:color w:val="5A5A5A"/>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linkedin.com/in/temioyawoy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