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CMMC Readiness</w:t>
      </w:r>
    </w:p>
    <w:p>
      <w:pPr>
        <w:spacing w:after="200"/>
      </w:pPr>
      <w:r>
        <w:rPr>
          <w:i/>
          <w:color w:val="505050"/>
        </w:rPr>
        <w:t>Developer-ready service page transcript | Source: Launch Priority 3, current-regulatory copy corrected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 w:val="true"/>
        </w:trPr>
        <w:tc>
          <w:tcPr>
            <w:tcW w:type="dxa" w:w="1016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>Build status</w:t>
            </w:r>
          </w:p>
          <w:p>
            <w:pPr>
              <w:spacing w:after="0"/>
            </w:pPr>
            <w:r>
              <w:t>This version supersedes earlier no-pricing instructions. Public pricing is approved. Use the pricing section below on this service page. The Governance Blueprint is the sole single-price exception.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Build field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Approved value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Page name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CMMC Readiness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URL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/services/compliance/cmmc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SEO title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CMMC Readiness Consulting | NIST 800-171 Controls, Evidence &amp; Assessment Preparation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Meta description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CMMC readiness consulting for defense contractors and subcontractors. Scope, controls, evidence, and C3PAO coordination  -  led personally by Temi.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Primary keyword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CMMC readiness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Secondary keywords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CMMC Level 2 readiness, CMMC compliance consulting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Breadcrumb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Home &gt; Services &gt; Compliance &amp; Certification Readiness &gt; CMMC Readiness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Primary CTA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Book a 30-Minute Consultation</w:t>
            </w:r>
          </w:p>
        </w:tc>
      </w:tr>
    </w:tbl>
    <w:p>
      <w:pPr>
        <w:pStyle w:val="Heading1"/>
      </w:pPr>
      <w:r>
        <w:t>Public Page Transcript</w:t>
      </w:r>
    </w:p>
    <w:p>
      <w:pPr>
        <w:pStyle w:val="Heading2"/>
      </w:pPr>
      <w:r>
        <w:t>Hero</w:t>
      </w:r>
    </w:p>
    <w:p>
      <w:pPr>
        <w:pStyle w:val="Heading1"/>
      </w:pPr>
      <w:r>
        <w:t>Build a defensible CMMC and NIST 800-171 readiness baseline.</w:t>
      </w:r>
    </w:p>
    <w:p>
      <w:r>
        <w:t>CMMC implementation requirements are under federal review, while Phase I self-assessment requirements remain in place. Cyvelle’s CMMC readiness service helps defense contractors strengthen their NIST 800-171 baseline, document controls and evidence, and prepare for the assessment path required by their contracts.</w:t>
      </w:r>
    </w:p>
    <w:p>
      <w:r>
        <w:t>Primary CTA: Book a 30-Minute Consultation</w:t>
        <w:br/>
        <w:t>Secondary CTA: See what the engagement includes.</w:t>
      </w:r>
    </w:p>
    <w:p>
      <w:pPr>
        <w:pStyle w:val="Heading2"/>
      </w:pPr>
      <w:r>
        <w:t>Who This Is For</w:t>
      </w:r>
    </w:p>
    <w:p>
      <w:pPr>
        <w:pStyle w:val="ListBullet"/>
        <w:ind w:left="288" w:hanging="173"/>
      </w:pPr>
      <w:r>
        <w:t>Defense contractors and subcontractors handling Controlled Unclassified Information (CUI).</w:t>
      </w:r>
    </w:p>
    <w:p>
      <w:pPr>
        <w:pStyle w:val="ListBullet"/>
        <w:ind w:left="288" w:hanging="173"/>
      </w:pPr>
      <w:r>
        <w:t>Organizations anticipating CMMC 2.0 Level 2 requirements.</w:t>
      </w:r>
    </w:p>
    <w:p>
      <w:pPr>
        <w:pStyle w:val="Heading2"/>
      </w:pPr>
      <w:r>
        <w:t>What Brings Clients Here</w:t>
      </w:r>
    </w:p>
    <w:p>
      <w:pPr>
        <w:pStyle w:val="ListBullet"/>
        <w:ind w:left="288" w:hanging="173"/>
      </w:pPr>
      <w:r>
        <w:t>Contracts, prime-contractor expectations, or internal compliance teams require stronger NIST 800-171 and CMMC evidence, and leadership needs a defensible baseline.</w:t>
      </w:r>
    </w:p>
    <w:p>
      <w:pPr>
        <w:pStyle w:val="ListBullet"/>
        <w:ind w:left="288" w:hanging="173"/>
      </w:pPr>
      <w:r>
        <w:t>Existing NIST 800-171 controls have not been tested or documented in a way that supports CMMC.</w:t>
      </w:r>
    </w:p>
    <w:p>
      <w:pPr>
        <w:pStyle w:val="Heading2"/>
      </w:pPr>
      <w:r>
        <w:t>What This Service Solves</w:t>
      </w:r>
    </w:p>
    <w:p>
      <w:r>
        <w:t>CMMC readiness services solve the “we don’t know how far we are from CMMC Level 2” problem. Cyvelle helps you:</w:t>
      </w:r>
    </w:p>
    <w:p>
      <w:r>
        <w:t>Assess against CMMC practices and requirements.</w:t>
      </w:r>
    </w:p>
    <w:p>
      <w:r>
        <w:t>Align NIST 800-171 controls to CMMC.</w:t>
      </w:r>
    </w:p>
    <w:p>
      <w:r>
        <w:t>Design remediation and evidence plans.</w:t>
      </w:r>
    </w:p>
    <w:p>
      <w:pPr>
        <w:pStyle w:val="Heading2"/>
      </w:pPr>
      <w:r>
        <w:t>What Cyvelle Does</w:t>
      </w:r>
    </w:p>
    <w:p>
      <w:pPr>
        <w:pStyle w:val="ListBullet"/>
        <w:ind w:left="288" w:hanging="173"/>
      </w:pPr>
      <w:r>
        <w:t>For CMMC readiness, Cyvelle:</w:t>
      </w:r>
    </w:p>
    <w:p>
      <w:pPr>
        <w:pStyle w:val="ListBullet"/>
        <w:ind w:left="288" w:hanging="173"/>
      </w:pPr>
      <w:r>
        <w:t>Reviews your current NIST 800-171 posture.</w:t>
      </w:r>
    </w:p>
    <w:p>
      <w:pPr>
        <w:pStyle w:val="ListBullet"/>
        <w:ind w:left="288" w:hanging="173"/>
      </w:pPr>
      <w:r>
        <w:t>Maps controls to CMMC practices.</w:t>
      </w:r>
    </w:p>
    <w:p>
      <w:pPr>
        <w:pStyle w:val="ListBullet"/>
        <w:ind w:left="288" w:hanging="173"/>
      </w:pPr>
      <w:r>
        <w:t>Identifies gaps and designs remediation plans.</w:t>
      </w:r>
    </w:p>
    <w:p>
      <w:pPr>
        <w:pStyle w:val="ListBullet"/>
        <w:ind w:left="288" w:hanging="173"/>
      </w:pPr>
      <w:r>
        <w:t>Builds an evidence plan.</w:t>
      </w:r>
    </w:p>
    <w:p>
      <w:pPr>
        <w:pStyle w:val="ListBullet"/>
        <w:ind w:left="288" w:hanging="173"/>
      </w:pPr>
      <w:r>
        <w:t>Prepares an assessment-ready package.</w:t>
      </w:r>
    </w:p>
    <w:p>
      <w:pPr>
        <w:pStyle w:val="Heading2"/>
      </w:pPr>
      <w:r>
        <w:t>What You 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Deliverable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What it gives you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CMMC readiness baseline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 documented view of where you stand against CMMC practices.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Control and remediation plan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 plan for closing gaps and strengthening controls.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Evidence plan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 structure for collecting and maintaining evidence for CMMC assessment.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Assessment handoff package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Documentation and evidence overview for your chosen C3PAO or assessment path.</w:t>
            </w:r>
          </w:p>
        </w:tc>
      </w:tr>
    </w:tbl>
    <w:p>
      <w:pPr>
        <w:pStyle w:val="Heading2"/>
      </w:pPr>
      <w:r>
        <w:t>How the Engagement Works</w:t>
      </w:r>
    </w:p>
    <w:p>
      <w:r>
        <w:t>CMMC readiness is a fixed-fee consulting engagement scoped to your environment and level.</w:t>
      </w:r>
    </w:p>
    <w:p>
      <w:pPr>
        <w:pStyle w:val="Heading2"/>
        <w:keepNext/>
        <w:pageBreakBefore/>
      </w:pPr>
      <w:r>
        <w:t>Pricing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Engagement level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Public price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Best fit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Scope distinction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NIST 800-171 / CMMC Baseline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$9,500 fixed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Defense contractors that need a defensible current-state baseline and evidence roadmap.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Contract and CUI scope, NIST 800-171 control baseline, self-assessment evidence review, key gaps, SSP/POA&amp;M priorities, and executive roadmap.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Readiness Architecture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From $25,000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Organizations building controls, documentation, and evidence for a future assessment path.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Baseline plus SSP architecture, policies/procedures, evidence model, remediation governance, CUI flow documentation, and assessment preparation.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Complex Readiness Program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From $40,000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Complex environments with multiple enclaves, entities, contracts, or material remediation needs.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Expanded scoping, multi-enclave control architecture, broader evidence burden, remediation program governance, and independent assessment coordination when required.</w:t>
            </w:r>
          </w:p>
        </w:tc>
      </w:tr>
    </w:tbl>
    <w:p>
      <w:pPr>
        <w:pStyle w:val="DeveloperNote"/>
      </w:pPr>
      <w:r>
        <w:t>Website treatment: three cards on desktop, stacked cards on mobile. Each card links to Book a 30-Minute Consultation. Final scope is confirmed in the Statement of Work.</w:t>
      </w:r>
    </w:p>
    <w:p>
      <w:pPr>
        <w:pStyle w:val="DeveloperNote"/>
      </w:pPr>
      <w:r>
        <w:t>External audit or certification fees, legal advice, penetration testing, software, technical remediation, travel, production changes, and other third-party costs are separate where applicable.</w:t>
      </w:r>
    </w:p>
    <w:p>
      <w:pPr>
        <w:pStyle w:val="Heading2"/>
      </w:pPr>
      <w:r>
        <w:t>What Changes</w:t>
      </w:r>
    </w:p>
    <w:p>
      <w:pPr>
        <w:pStyle w:val="ListBullet"/>
        <w:ind w:left="288" w:hanging="173"/>
      </w:pPr>
      <w:r>
        <w:t>After CMMC readiness:</w:t>
      </w:r>
    </w:p>
    <w:p>
      <w:pPr>
        <w:pStyle w:val="ListBullet"/>
        <w:ind w:left="288" w:hanging="173"/>
      </w:pPr>
      <w:r>
        <w:t>You understand your CMMC posture and what it will take to reach Level 2.</w:t>
      </w:r>
    </w:p>
    <w:p>
      <w:pPr>
        <w:pStyle w:val="ListBullet"/>
        <w:ind w:left="288" w:hanging="173"/>
      </w:pPr>
      <w:r>
        <w:t>Controls and evidence are more aligned to CMMC expectations.</w:t>
      </w:r>
    </w:p>
    <w:p>
      <w:pPr>
        <w:pStyle w:val="Heading2"/>
      </w:pPr>
      <w:r>
        <w:t>Important Scope Information</w:t>
      </w:r>
    </w:p>
    <w:p>
      <w:pPr>
        <w:pStyle w:val="ListBullet"/>
        <w:ind w:left="288" w:hanging="173"/>
      </w:pPr>
      <w:r>
        <w:t>Cyvelle prepares you; independent C3PAO assessments and DoD decisions remain separate.</w:t>
      </w:r>
    </w:p>
    <w:p>
      <w:pPr>
        <w:pStyle w:val="Heading2"/>
      </w:pPr>
      <w:r>
        <w:t>Why Cyvelle</w:t>
      </w:r>
    </w:p>
    <w:p>
      <w:pPr>
        <w:pStyle w:val="ListBullet"/>
        <w:ind w:left="288" w:hanging="173"/>
      </w:pPr>
      <w:r>
        <w:t>Temi’s experience across NIST frameworks and regulated environments supports CMMC alignment.</w:t>
      </w:r>
    </w:p>
    <w:p>
      <w:pPr>
        <w:pStyle w:val="Heading2"/>
      </w:pPr>
      <w:r>
        <w:t>Delivered by Temi (Founder Module)</w:t>
      </w:r>
    </w:p>
    <w:p>
      <w:r>
        <w:t>Led by Temi Oyawoye, founder of Cyvelle Consulting.</w:t>
      </w:r>
    </w:p>
    <w:p>
      <w:r>
        <w:t>Temi has spent more than two decades building compliance programs and leading audits across financial services, media and entertainment, healthcare, and technology  -  the kind of range that comes from being audited as much as from auditing. Every Cyvelle engagement is led personally by Temi, from the first conversation through final delivery.</w:t>
      </w:r>
    </w:p>
    <w:p>
      <w:r>
        <w:t>CISA | CISM | CRISC | CDPSE | PCI-QSA | MSIS</w:t>
        <w:br/>
        <w:t>About Temi to · Connect on LinkedIn to</w:t>
      </w:r>
    </w:p>
    <w:p>
      <w:pPr>
        <w:pStyle w:val="Heading2"/>
      </w:pPr>
      <w:r>
        <w:t>FAQ</w:t>
      </w:r>
    </w:p>
    <w:p>
      <w:r>
        <w:t>Do all contracts require CMMC now?</w:t>
        <w:br/>
        <w:t>No. The federal rollout changed in July 2026. Phase II requirements were suspended while Phase I self-assessment requirements remain in place. Cyvelle keeps current rollout details in Intelligence content and scopes readiness to the requirements in your contracts and applicable federal guidance.</w:t>
      </w:r>
    </w:p>
    <w:p>
      <w:pPr>
        <w:pStyle w:val="Heading2"/>
      </w:pPr>
      <w:r>
        <w:t>Related Intelligence</w:t>
      </w:r>
    </w:p>
    <w:p>
      <w:pPr>
        <w:pStyle w:val="ListBullet"/>
        <w:ind w:left="288" w:hanging="173"/>
      </w:pPr>
      <w:r>
        <w:t>“CMMC Level 2: what defense contractors should prepare for.”</w:t>
      </w:r>
    </w:p>
    <w:p>
      <w:pPr>
        <w:pStyle w:val="Heading2"/>
      </w:pPr>
      <w:r>
        <w:t>Related Services</w:t>
      </w:r>
    </w:p>
    <w:p>
      <w:pPr>
        <w:pStyle w:val="ListBullet"/>
        <w:ind w:left="288" w:hanging="173"/>
      </w:pPr>
      <w:r>
        <w:t>Third-Party Risk Management</w:t>
      </w:r>
    </w:p>
    <w:p>
      <w:pPr>
        <w:pStyle w:val="ListBullet"/>
        <w:ind w:left="288" w:hanging="173"/>
      </w:pPr>
      <w:r>
        <w:t>Governance Blueprint</w:t>
      </w:r>
    </w:p>
    <w:p>
      <w:pPr>
        <w:pStyle w:val="Heading2"/>
      </w:pPr>
      <w:r>
        <w:t>Internal Linking Instructions</w:t>
      </w:r>
    </w:p>
    <w:p>
      <w:pPr>
        <w:pStyle w:val="ListBullet"/>
        <w:ind w:left="288" w:hanging="173"/>
      </w:pPr>
      <w:r>
        <w:t>Link CMMC page to Compliance hub, Governance Blueprint, and relevant Intelligence.</w:t>
      </w:r>
    </w:p>
    <w:p>
      <w:pPr>
        <w:pStyle w:val="Heading2"/>
      </w:pPr>
      <w:r>
        <w:t>Developer Notes</w:t>
      </w:r>
    </w:p>
    <w:p>
      <w:pPr>
        <w:pStyle w:val="ListBullet"/>
        <w:ind w:left="288" w:hanging="173"/>
      </w:pPr>
      <w:r>
        <w:t>Keep regulatory timelines in Intelligence, not on the evergreen service page.</w:t>
      </w:r>
    </w:p>
    <w:p>
      <w:pPr>
        <w:pStyle w:val="Heading2"/>
      </w:pPr>
      <w:r>
        <w:t>Final Call to Action</w:t>
      </w:r>
    </w:p>
    <w:p>
      <w:r>
        <w:t>Ready to clarify the right path?</w:t>
      </w:r>
    </w:p>
    <w:p>
      <w:r>
        <w:t>Bring the business trigger, deadline, and current challenge. Cyvelle will confirm whether this is the right starting point and what the next decision should be.</w:t>
      </w:r>
    </w:p>
    <w:p>
      <w:r>
        <w:rPr>
          <w:b/>
          <w:color w:val="1F4E79"/>
        </w:rPr>
        <w:t>Book a 30-Minute Consultation</w:t>
      </w:r>
    </w:p>
    <w:p>
      <w:pPr>
        <w:pStyle w:val="DeveloperNote"/>
      </w:pPr>
      <w:r>
        <w:t>Recommended form fields: Name | Work email | Company | Service | Message</w:t>
      </w:r>
    </w:p>
    <w:p>
      <w:pPr>
        <w:pStyle w:val="Heading2"/>
      </w:pPr>
      <w:r>
        <w:t>Final Developer Rules</w:t>
      </w:r>
    </w:p>
    <w:p>
      <w:pPr>
        <w:pStyle w:val="ListBullet"/>
        <w:ind w:left="288" w:hanging="173"/>
      </w:pPr>
      <w:r>
        <w:t>Keep the sticky header CTA as Book a 30-Minute Consultation.</w:t>
      </w:r>
    </w:p>
    <w:p>
      <w:pPr>
        <w:pStyle w:val="ListBullet"/>
        <w:ind w:left="288" w:hanging="173"/>
      </w:pPr>
      <w:r>
        <w:t>Render What You Get as a high-contrast deliverables table or card grid.</w:t>
      </w:r>
    </w:p>
    <w:p>
      <w:pPr>
        <w:pStyle w:val="ListBullet"/>
        <w:ind w:left="288" w:hanging="173"/>
      </w:pPr>
      <w:r>
        <w:t>Render pricing as three cards on desktop and stacked cards on mobile. The Governance Blueprint uses one fixed-price block.</w:t>
      </w:r>
    </w:p>
    <w:p>
      <w:pPr>
        <w:pStyle w:val="ListBullet"/>
        <w:ind w:left="288" w:hanging="173"/>
      </w:pPr>
      <w:r>
        <w:t>Do not expose internal professional-hour guardrails, capacity ceilings, or internal delivery constraints from the Pricing, Scope &amp; Delivery Guide.</w:t>
      </w:r>
    </w:p>
    <w:p>
      <w:pPr>
        <w:pStyle w:val="ListBullet"/>
        <w:ind w:left="288" w:hanging="173"/>
      </w:pPr>
      <w:r>
        <w:t>Use one service-specific process only. Do not add a duplicate global process underneath it.</w:t>
      </w:r>
    </w:p>
    <w:p>
      <w:pPr>
        <w:pStyle w:val="ListBullet"/>
        <w:ind w:left="288" w:hanging="173"/>
      </w:pPr>
      <w:r>
        <w:t>Place Important Scope Information after process and pricing, and before Why Cyvelle, founder module, and FAQ.</w:t>
      </w:r>
    </w:p>
    <w:p>
      <w:pPr>
        <w:pStyle w:val="ListBullet"/>
        <w:ind w:left="288" w:hanging="173"/>
      </w:pPr>
      <w:r>
        <w:t>Use Temi Oyawoye on first mention and in headings. Use Temi naturally thereafter.</w:t>
      </w:r>
    </w:p>
    <w:p>
      <w:pPr>
        <w:pStyle w:val="ListBullet"/>
        <w:ind w:left="288" w:hanging="173"/>
      </w:pPr>
      <w:r>
        <w:t>Founder module links to About and LinkedIn.</w:t>
      </w:r>
    </w:p>
    <w:p>
      <w:pPr>
        <w:pStyle w:val="ListBullet"/>
        <w:ind w:left="288" w:hanging="173"/>
      </w:pPr>
      <w:r>
        <w:t>Hide Related Intelligence until at least two relevant items are live.</w:t>
      </w:r>
    </w:p>
    <w:p>
      <w:pPr>
        <w:pStyle w:val="ListBullet"/>
        <w:ind w:left="288" w:hanging="173"/>
      </w:pPr>
      <w:r>
        <w:t>Do not add guarantees, audit-pass claims, client-count claims, or unsupported quantified outcomes.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7878"/>
        <w:sz w:val="14"/>
      </w:rPr>
      <w:t>Developer implementation document  |  28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96969"/>
        <w:sz w:val="15"/>
      </w:rPr>
      <w:t>CYVELLE CONSULTING  |  DEVELOPER BUILD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2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veloperNote">
    <w:name w:val="Developer Note"/>
    <w:pPr>
      <w:spacing w:after="80"/>
    </w:pPr>
    <w:rPr>
      <w:rFonts w:ascii="Aptos" w:hAnsi="Aptos"/>
      <w:i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