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NIS2 Compliance Readiness</w:t>
      </w:r>
    </w:p>
    <w:p>
      <w:pPr>
        <w:spacing w:after="200"/>
      </w:pPr>
      <w:r>
        <w:rPr>
          <w:i/>
          <w:color w:val="505050"/>
        </w:rPr>
        <w:t>Developer-ready service page transcript | Source: Launch Priority 3, jurisdiction caveat strengthened</w:t>
      </w:r>
    </w:p>
    <w:tbl>
      <w:tblPr>
        <w:tblW w:type="auto" w:w="0"/>
        <w:jc w:val="center"/>
        <w:tblLook w:firstColumn="1" w:firstRow="1" w:lastColumn="0" w:lastRow="0" w:noHBand="0" w:noVBand="1" w:val="04A0"/>
      </w:tblPr>
      <w:tblGrid>
        <w:gridCol w:w="10166"/>
      </w:tblGrid>
      <w:tr>
        <w:trPr>
          <w:cantSplit/>
          <w:tblHeader w:val="true"/>
        </w:trPr>
        <w:tc>
          <w:tcPr>
            <w:tcW w:type="dxa" w:w="10166"/>
            <w:shd w:fill="EAF2F8"/>
            <w:tcMar>
              <w:top w:w="120" w:type="dxa"/>
              <w:start w:w="140" w:type="dxa"/>
              <w:bottom w:w="120" w:type="dxa"/>
              <w:end w:w="140" w:type="dxa"/>
            </w:tcMar>
          </w:tcPr>
          <w:p>
            <w:r>
              <w:rPr>
                <w:b/>
                <w:color w:val="17365D"/>
              </w:rPr>
              <w:t>Build status</w:t>
            </w:r>
          </w:p>
          <w:p>
            <w:pPr>
              <w:spacing w:after="0"/>
            </w:pPr>
            <w:r>
              <w:t>This version supersedes earlier no-pricing instructions. Public pricing is approved. Use the pricing section below on this service page. The Governance Blueprint is the sole single-price exception.</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016"/>
            <w:tcMar>
              <w:top w:w="90" w:type="dxa"/>
              <w:start w:w="100" w:type="dxa"/>
              <w:bottom w:w="90" w:type="dxa"/>
              <w:end w:w="100" w:type="dxa"/>
            </w:tcMar>
            <w:vAlign w:val="top"/>
            <w:shd w:fill="D9EAF7"/>
          </w:tcPr>
          <w:p>
            <w:pPr>
              <w:spacing w:after="30"/>
            </w:pPr>
            <w:r>
              <w:rPr>
                <w:rFonts w:ascii="Aptos" w:hAnsi="Aptos"/>
                <w:b/>
                <w:sz w:val="16"/>
              </w:rPr>
              <w:t>Build field</w:t>
            </w:r>
          </w:p>
        </w:tc>
        <w:tc>
          <w:tcPr>
            <w:tcW w:type="dxa" w:w="8496"/>
            <w:tcMar>
              <w:top w:w="90" w:type="dxa"/>
              <w:start w:w="100" w:type="dxa"/>
              <w:bottom w:w="90" w:type="dxa"/>
              <w:end w:w="100" w:type="dxa"/>
            </w:tcMar>
            <w:vAlign w:val="top"/>
            <w:shd w:fill="D9EAF7"/>
          </w:tcPr>
          <w:p>
            <w:pPr>
              <w:spacing w:after="30"/>
            </w:pPr>
            <w:r>
              <w:rPr>
                <w:rFonts w:ascii="Aptos" w:hAnsi="Aptos"/>
                <w:b/>
                <w:sz w:val="16"/>
              </w:rPr>
              <w:t>Approved value</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Page name</w:t>
            </w:r>
          </w:p>
        </w:tc>
        <w:tc>
          <w:tcPr>
            <w:tcW w:type="dxa" w:w="8496"/>
            <w:tcMar>
              <w:top w:w="90" w:type="dxa"/>
              <w:start w:w="100" w:type="dxa"/>
              <w:bottom w:w="90" w:type="dxa"/>
              <w:end w:w="100" w:type="dxa"/>
            </w:tcMar>
            <w:vAlign w:val="top"/>
          </w:tcPr>
          <w:p>
            <w:pPr>
              <w:spacing w:after="30"/>
            </w:pPr>
            <w:r>
              <w:rPr>
                <w:rFonts w:ascii="Aptos" w:hAnsi="Aptos"/>
                <w:sz w:val="16"/>
              </w:rPr>
              <w:t>NIS2 Compliance Readiness</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URL</w:t>
            </w:r>
          </w:p>
        </w:tc>
        <w:tc>
          <w:tcPr>
            <w:tcW w:type="dxa" w:w="8496"/>
            <w:tcMar>
              <w:top w:w="90" w:type="dxa"/>
              <w:start w:w="100" w:type="dxa"/>
              <w:bottom w:w="90" w:type="dxa"/>
              <w:end w:w="100" w:type="dxa"/>
            </w:tcMar>
            <w:vAlign w:val="top"/>
          </w:tcPr>
          <w:p>
            <w:pPr>
              <w:spacing w:after="30"/>
            </w:pPr>
            <w:r>
              <w:rPr>
                <w:rFonts w:ascii="Aptos" w:hAnsi="Aptos"/>
                <w:sz w:val="16"/>
              </w:rPr>
              <w:t>/services/compliance/nis2</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SEO title</w:t>
            </w:r>
          </w:p>
        </w:tc>
        <w:tc>
          <w:tcPr>
            <w:tcW w:type="dxa" w:w="8496"/>
            <w:tcMar>
              <w:top w:w="90" w:type="dxa"/>
              <w:start w:w="100" w:type="dxa"/>
              <w:bottom w:w="90" w:type="dxa"/>
              <w:end w:w="100" w:type="dxa"/>
            </w:tcMar>
            <w:vAlign w:val="top"/>
          </w:tcPr>
          <w:p>
            <w:pPr>
              <w:spacing w:after="30"/>
            </w:pPr>
            <w:r>
              <w:rPr>
                <w:rFonts w:ascii="Aptos" w:hAnsi="Aptos"/>
                <w:sz w:val="16"/>
              </w:rPr>
              <w:t>NIS2 Compliance Readiness Consulting | Understand &amp; Prepare for NIS2 Obligations</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Meta description</w:t>
            </w:r>
          </w:p>
        </w:tc>
        <w:tc>
          <w:tcPr>
            <w:tcW w:type="dxa" w:w="8496"/>
            <w:tcMar>
              <w:top w:w="90" w:type="dxa"/>
              <w:start w:w="100" w:type="dxa"/>
              <w:bottom w:w="90" w:type="dxa"/>
              <w:end w:w="100" w:type="dxa"/>
            </w:tcMar>
            <w:vAlign w:val="top"/>
          </w:tcPr>
          <w:p>
            <w:pPr>
              <w:spacing w:after="30"/>
            </w:pPr>
            <w:r>
              <w:rPr>
                <w:rFonts w:ascii="Aptos" w:hAnsi="Aptos"/>
                <w:sz w:val="16"/>
              </w:rPr>
              <w:t>NIS2 readiness consulting for organizations with EU-exposed operations. Scope, obligations, controls, and evidence  -  led personally by Temi.</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keyword</w:t>
            </w:r>
          </w:p>
        </w:tc>
        <w:tc>
          <w:tcPr>
            <w:tcW w:type="dxa" w:w="8496"/>
            <w:tcMar>
              <w:top w:w="90" w:type="dxa"/>
              <w:start w:w="100" w:type="dxa"/>
              <w:bottom w:w="90" w:type="dxa"/>
              <w:end w:w="100" w:type="dxa"/>
            </w:tcMar>
            <w:vAlign w:val="top"/>
          </w:tcPr>
          <w:p>
            <w:pPr>
              <w:spacing w:after="30"/>
            </w:pPr>
            <w:r>
              <w:rPr>
                <w:rFonts w:ascii="Aptos" w:hAnsi="Aptos"/>
                <w:sz w:val="16"/>
              </w:rPr>
              <w:t>NIS2 compliance consulting</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Secondary keywords</w:t>
            </w:r>
          </w:p>
        </w:tc>
        <w:tc>
          <w:tcPr>
            <w:tcW w:type="dxa" w:w="8496"/>
            <w:tcMar>
              <w:top w:w="90" w:type="dxa"/>
              <w:start w:w="100" w:type="dxa"/>
              <w:bottom w:w="90" w:type="dxa"/>
              <w:end w:w="100" w:type="dxa"/>
            </w:tcMar>
            <w:vAlign w:val="top"/>
          </w:tcPr>
          <w:p>
            <w:pPr>
              <w:spacing w:after="30"/>
            </w:pPr>
            <w:r>
              <w:rPr>
                <w:rFonts w:ascii="Aptos" w:hAnsi="Aptos"/>
                <w:sz w:val="16"/>
              </w:rPr>
              <w:t>NIS2 readiness, NIS2 obligations</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Breadcrumb</w:t>
            </w:r>
          </w:p>
        </w:tc>
        <w:tc>
          <w:tcPr>
            <w:tcW w:type="dxa" w:w="8496"/>
            <w:tcMar>
              <w:top w:w="90" w:type="dxa"/>
              <w:start w:w="100" w:type="dxa"/>
              <w:bottom w:w="90" w:type="dxa"/>
              <w:end w:w="100" w:type="dxa"/>
            </w:tcMar>
            <w:vAlign w:val="top"/>
          </w:tcPr>
          <w:p>
            <w:pPr>
              <w:spacing w:after="30"/>
            </w:pPr>
            <w:r>
              <w:rPr>
                <w:rFonts w:ascii="Aptos" w:hAnsi="Aptos"/>
                <w:sz w:val="16"/>
              </w:rPr>
              <w:t>Home &gt; Services &gt; Compliance &amp; Certification Readiness &gt; NIS2 Compliance Readiness</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CTA</w:t>
            </w:r>
          </w:p>
        </w:tc>
        <w:tc>
          <w:tcPr>
            <w:tcW w:type="dxa" w:w="8496"/>
            <w:tcMar>
              <w:top w:w="90" w:type="dxa"/>
              <w:start w:w="100" w:type="dxa"/>
              <w:bottom w:w="90" w:type="dxa"/>
              <w:end w:w="100" w:type="dxa"/>
            </w:tcMar>
            <w:vAlign w:val="top"/>
          </w:tcPr>
          <w:p>
            <w:pPr>
              <w:spacing w:after="30"/>
            </w:pPr>
            <w:r>
              <w:rPr>
                <w:rFonts w:ascii="Aptos" w:hAnsi="Aptos"/>
                <w:sz w:val="16"/>
              </w:rPr>
              <w:t>Book a 30-Minute Consultation</w:t>
            </w:r>
          </w:p>
        </w:tc>
      </w:tr>
    </w:tbl>
    <w:p>
      <w:pPr>
        <w:pStyle w:val="Heading1"/>
      </w:pPr>
      <w:r>
        <w:t>Public Page Transcript</w:t>
      </w:r>
    </w:p>
    <w:p>
      <w:pPr>
        <w:pStyle w:val="Heading2"/>
      </w:pPr>
      <w:r>
        <w:t>Hero</w:t>
      </w:r>
    </w:p>
    <w:p>
      <w:pPr>
        <w:pStyle w:val="Heading1"/>
      </w:pPr>
      <w:r>
        <w:t>Understand and close your NIS2 obligations.</w:t>
      </w:r>
    </w:p>
    <w:p>
      <w:r>
        <w:t>NIS2 extends EU cybersecurity obligations across more sectors and entities. Cyvelle’s NIS2 readiness service helps you understand whether and how NIS2 applies to you, and what to do about it.</w:t>
      </w:r>
    </w:p>
    <w:p>
      <w:r>
        <w:t>Primary CTA: Book a 30-Minute Consultation</w:t>
        <w:br/>
        <w:t>Secondary CTA: See what the engagement includes.</w:t>
      </w:r>
    </w:p>
    <w:p>
      <w:pPr>
        <w:pStyle w:val="Heading2"/>
      </w:pPr>
      <w:r>
        <w:t>Who This Is For</w:t>
      </w:r>
    </w:p>
    <w:p>
      <w:pPr>
        <w:pStyle w:val="ListBullet"/>
        <w:ind w:left="288" w:hanging="173"/>
      </w:pPr>
      <w:r>
        <w:t>Organizations with EU operations or customers potentially in scope of NIS2.</w:t>
      </w:r>
    </w:p>
    <w:p>
      <w:pPr>
        <w:pStyle w:val="ListBullet"/>
        <w:ind w:left="288" w:hanging="173"/>
      </w:pPr>
      <w:r>
        <w:t>Companies unsure whether NIS2 obligations apply to them.</w:t>
      </w:r>
    </w:p>
    <w:p>
      <w:pPr>
        <w:pStyle w:val="Heading2"/>
      </w:pPr>
      <w:r>
        <w:t>What Brings Clients Here</w:t>
      </w:r>
    </w:p>
    <w:p>
      <w:pPr>
        <w:pStyle w:val="ListBullet"/>
        <w:ind w:left="288" w:hanging="173"/>
      </w:pPr>
      <w:r>
        <w:t>Legal or security teams have questions about NIS2 exposure.</w:t>
      </w:r>
    </w:p>
    <w:p>
      <w:pPr>
        <w:pStyle w:val="ListBullet"/>
        <w:ind w:left="288" w:hanging="173"/>
      </w:pPr>
      <w:r>
        <w:t>EU regulators or customers have mentioned NIS2, and leadership wants clarity.</w:t>
      </w:r>
    </w:p>
    <w:p>
      <w:pPr>
        <w:pStyle w:val="Heading2"/>
      </w:pPr>
      <w:r>
        <w:t>What This Service Solves</w:t>
      </w:r>
    </w:p>
    <w:p>
      <w:r>
        <w:t>NIS2 readiness solves the “we don’t know if or how NIS2 applies” problem. Cyvelle helps you:</w:t>
      </w:r>
    </w:p>
    <w:p>
      <w:r>
        <w:t>Assess applicability and entity classification.</w:t>
      </w:r>
    </w:p>
    <w:p>
      <w:r>
        <w:t>Map obligations to current controls.</w:t>
      </w:r>
    </w:p>
    <w:p>
      <w:r>
        <w:t>Identify gaps and remediation options.</w:t>
      </w:r>
    </w:p>
    <w:p>
      <w:pPr>
        <w:pStyle w:val="Heading2"/>
      </w:pPr>
      <w:r>
        <w:t>What Cyvelle Does</w:t>
      </w:r>
    </w:p>
    <w:p>
      <w:pPr>
        <w:pStyle w:val="ListBullet"/>
        <w:ind w:left="288" w:hanging="173"/>
      </w:pPr>
      <w:r>
        <w:t>For NIS2 readiness, Cyvelle:</w:t>
      </w:r>
    </w:p>
    <w:p>
      <w:pPr>
        <w:pStyle w:val="ListBullet"/>
        <w:ind w:left="288" w:hanging="173"/>
      </w:pPr>
      <w:r>
        <w:t>Reviews your EU footprint and sector classification.</w:t>
      </w:r>
    </w:p>
    <w:p>
      <w:pPr>
        <w:pStyle w:val="ListBullet"/>
        <w:ind w:left="288" w:hanging="173"/>
      </w:pPr>
      <w:r>
        <w:t>Assesses current security controls against NIS2 requirements.</w:t>
      </w:r>
    </w:p>
    <w:p>
      <w:pPr>
        <w:pStyle w:val="ListBullet"/>
        <w:ind w:left="288" w:hanging="173"/>
      </w:pPr>
      <w:r>
        <w:t>Designs remediation and governance enhancements.</w:t>
      </w:r>
    </w:p>
    <w:p>
      <w:pPr>
        <w:pStyle w:val="ListBullet"/>
        <w:ind w:left="288" w:hanging="173"/>
      </w:pPr>
      <w:r>
        <w:t>Builds an evidence model.</w:t>
      </w:r>
    </w:p>
    <w:p>
      <w:pPr>
        <w:pStyle w:val="Heading2"/>
      </w:pPr>
      <w:r>
        <w:t>What You Get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90" w:type="dxa"/>
              <w:start w:w="100" w:type="dxa"/>
              <w:bottom w:w="90" w:type="dxa"/>
              <w:end w:w="100" w:type="dxa"/>
            </w:tcMar>
            <w:vAlign w:val="top"/>
            <w:shd w:fill="D9EAF7"/>
          </w:tcPr>
          <w:p>
            <w:pPr>
              <w:spacing w:after="30"/>
            </w:pPr>
            <w:r>
              <w:rPr>
                <w:rFonts w:ascii="Aptos" w:hAnsi="Aptos"/>
                <w:b/>
                <w:sz w:val="15"/>
              </w:rPr>
              <w:t>Deliverable</w:t>
            </w:r>
          </w:p>
        </w:tc>
        <w:tc>
          <w:tcPr>
            <w:tcW w:type="dxa" w:w="5083"/>
            <w:tcMar>
              <w:top w:w="90" w:type="dxa"/>
              <w:start w:w="100" w:type="dxa"/>
              <w:bottom w:w="90" w:type="dxa"/>
              <w:end w:w="100" w:type="dxa"/>
            </w:tcMar>
            <w:vAlign w:val="top"/>
            <w:shd w:fill="D9EAF7"/>
          </w:tcPr>
          <w:p>
            <w:pPr>
              <w:spacing w:after="30"/>
            </w:pPr>
            <w:r>
              <w:rPr>
                <w:rFonts w:ascii="Aptos" w:hAnsi="Aptos"/>
                <w:b/>
                <w:sz w:val="15"/>
              </w:rPr>
              <w:t>What it gives you</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Applicability and classification analysis</w:t>
            </w:r>
          </w:p>
        </w:tc>
        <w:tc>
          <w:tcPr>
            <w:tcW w:type="dxa" w:w="5083"/>
            <w:tcMar>
              <w:top w:w="90" w:type="dxa"/>
              <w:start w:w="100" w:type="dxa"/>
              <w:bottom w:w="90" w:type="dxa"/>
              <w:end w:w="100" w:type="dxa"/>
            </w:tcMar>
            <w:vAlign w:val="top"/>
          </w:tcPr>
          <w:p>
            <w:pPr>
              <w:spacing w:after="30"/>
            </w:pPr>
            <w:r>
              <w:rPr>
                <w:rFonts w:ascii="Aptos" w:hAnsi="Aptos"/>
                <w:sz w:val="15"/>
              </w:rPr>
              <w:t>A documented view of whether and how NIS2 applies to your organization.</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Control and governance assessment</w:t>
            </w:r>
          </w:p>
        </w:tc>
        <w:tc>
          <w:tcPr>
            <w:tcW w:type="dxa" w:w="5083"/>
            <w:tcMar>
              <w:top w:w="90" w:type="dxa"/>
              <w:start w:w="100" w:type="dxa"/>
              <w:bottom w:w="90" w:type="dxa"/>
              <w:end w:w="100" w:type="dxa"/>
            </w:tcMar>
            <w:vAlign w:val="top"/>
          </w:tcPr>
          <w:p>
            <w:pPr>
              <w:spacing w:after="30"/>
            </w:pPr>
            <w:r>
              <w:rPr>
                <w:rFonts w:ascii="Aptos" w:hAnsi="Aptos"/>
                <w:sz w:val="15"/>
              </w:rPr>
              <w:t>A comparison of your current posture against NIS2 expectations.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Remediation and enhancement plan</w:t>
            </w:r>
          </w:p>
        </w:tc>
        <w:tc>
          <w:tcPr>
            <w:tcW w:type="dxa" w:w="5083"/>
            <w:tcMar>
              <w:top w:w="90" w:type="dxa"/>
              <w:start w:w="100" w:type="dxa"/>
              <w:bottom w:w="90" w:type="dxa"/>
              <w:end w:w="100" w:type="dxa"/>
            </w:tcMar>
            <w:vAlign w:val="top"/>
          </w:tcPr>
          <w:p>
            <w:pPr>
              <w:spacing w:after="30"/>
            </w:pPr>
            <w:r>
              <w:rPr>
                <w:rFonts w:ascii="Aptos" w:hAnsi="Aptos"/>
                <w:sz w:val="15"/>
              </w:rPr>
              <w:t>A plan to strengthen controls and governance where needed.</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Evidence approach</w:t>
            </w:r>
          </w:p>
        </w:tc>
        <w:tc>
          <w:tcPr>
            <w:tcW w:type="dxa" w:w="5083"/>
            <w:tcMar>
              <w:top w:w="90" w:type="dxa"/>
              <w:start w:w="100" w:type="dxa"/>
              <w:bottom w:w="90" w:type="dxa"/>
              <w:end w:w="100" w:type="dxa"/>
            </w:tcMar>
            <w:vAlign w:val="top"/>
          </w:tcPr>
          <w:p>
            <w:pPr>
              <w:spacing w:after="30"/>
            </w:pPr>
            <w:r>
              <w:rPr>
                <w:rFonts w:ascii="Aptos" w:hAnsi="Aptos"/>
                <w:sz w:val="15"/>
              </w:rPr>
              <w:t>Guidance on how to demonstrate compliance for regulators or customers.</w:t>
            </w:r>
          </w:p>
        </w:tc>
      </w:tr>
    </w:tbl>
    <w:p>
      <w:pPr>
        <w:pStyle w:val="Heading2"/>
      </w:pPr>
      <w:r>
        <w:t>How the Engagement Works</w:t>
      </w:r>
    </w:p>
    <w:p>
      <w:r>
        <w:t>NIS2 readiness is delivered as a scoped consulting engagement.</w:t>
      </w:r>
    </w:p>
    <w:p>
      <w:pPr>
        <w:pStyle w:val="Heading2"/>
        <w:keepNext/>
        <w:pageBreakBefore/>
      </w:pPr>
      <w:r>
        <w:t>Pricing</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800"/>
            <w:tcMar>
              <w:top w:w="90" w:type="dxa"/>
              <w:start w:w="100" w:type="dxa"/>
              <w:bottom w:w="90" w:type="dxa"/>
              <w:end w:w="100" w:type="dxa"/>
            </w:tcMar>
            <w:vAlign w:val="top"/>
            <w:shd w:fill="D9EAF7"/>
          </w:tcPr>
          <w:p>
            <w:pPr>
              <w:spacing w:after="30"/>
            </w:pPr>
            <w:r>
              <w:rPr>
                <w:rFonts w:ascii="Aptos" w:hAnsi="Aptos"/>
                <w:b/>
                <w:sz w:val="15"/>
              </w:rPr>
              <w:t>Engagement level</w:t>
            </w:r>
          </w:p>
        </w:tc>
        <w:tc>
          <w:tcPr>
            <w:tcW w:type="dxa" w:w="1656"/>
            <w:tcMar>
              <w:top w:w="90" w:type="dxa"/>
              <w:start w:w="100" w:type="dxa"/>
              <w:bottom w:w="90" w:type="dxa"/>
              <w:end w:w="100" w:type="dxa"/>
            </w:tcMar>
            <w:vAlign w:val="top"/>
            <w:shd w:fill="D9EAF7"/>
          </w:tcPr>
          <w:p>
            <w:pPr>
              <w:spacing w:after="30"/>
            </w:pPr>
            <w:r>
              <w:rPr>
                <w:rFonts w:ascii="Aptos" w:hAnsi="Aptos"/>
                <w:b/>
                <w:sz w:val="15"/>
              </w:rPr>
              <w:t>Public price</w:t>
            </w:r>
          </w:p>
        </w:tc>
        <w:tc>
          <w:tcPr>
            <w:tcW w:type="dxa" w:w="3168"/>
            <w:tcMar>
              <w:top w:w="90" w:type="dxa"/>
              <w:start w:w="100" w:type="dxa"/>
              <w:bottom w:w="90" w:type="dxa"/>
              <w:end w:w="100" w:type="dxa"/>
            </w:tcMar>
            <w:vAlign w:val="top"/>
            <w:shd w:fill="D9EAF7"/>
          </w:tcPr>
          <w:p>
            <w:pPr>
              <w:spacing w:after="30"/>
            </w:pPr>
            <w:r>
              <w:rPr>
                <w:rFonts w:ascii="Aptos" w:hAnsi="Aptos"/>
                <w:b/>
                <w:sz w:val="15"/>
              </w:rPr>
              <w:t>Best fit</w:t>
            </w:r>
          </w:p>
        </w:tc>
        <w:tc>
          <w:tcPr>
            <w:tcW w:type="dxa" w:w="4248"/>
            <w:tcMar>
              <w:top w:w="90" w:type="dxa"/>
              <w:start w:w="100" w:type="dxa"/>
              <w:bottom w:w="90" w:type="dxa"/>
              <w:end w:w="100" w:type="dxa"/>
            </w:tcMar>
            <w:vAlign w:val="top"/>
            <w:shd w:fill="D9EAF7"/>
          </w:tcPr>
          <w:p>
            <w:pPr>
              <w:spacing w:after="30"/>
            </w:pPr>
            <w:r>
              <w:rPr>
                <w:rFonts w:ascii="Aptos" w:hAnsi="Aptos"/>
                <w:b/>
                <w:sz w:val="15"/>
              </w:rPr>
              <w:t>Scope distinction</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Applicability + Gap Assessment</w:t>
            </w:r>
          </w:p>
        </w:tc>
        <w:tc>
          <w:tcPr>
            <w:tcW w:type="dxa" w:w="1656"/>
            <w:tcMar>
              <w:top w:w="90" w:type="dxa"/>
              <w:start w:w="100" w:type="dxa"/>
              <w:bottom w:w="90" w:type="dxa"/>
              <w:end w:w="100" w:type="dxa"/>
            </w:tcMar>
            <w:vAlign w:val="top"/>
          </w:tcPr>
          <w:p>
            <w:pPr>
              <w:spacing w:after="30"/>
            </w:pPr>
            <w:r>
              <w:rPr>
                <w:rFonts w:ascii="Aptos" w:hAnsi="Aptos"/>
                <w:sz w:val="15"/>
              </w:rPr>
              <w:t>From $9,500</w:t>
            </w:r>
          </w:p>
        </w:tc>
        <w:tc>
          <w:tcPr>
            <w:tcW w:type="dxa" w:w="3168"/>
            <w:tcMar>
              <w:top w:w="90" w:type="dxa"/>
              <w:start w:w="100" w:type="dxa"/>
              <w:bottom w:w="90" w:type="dxa"/>
              <w:end w:w="100" w:type="dxa"/>
            </w:tcMar>
            <w:vAlign w:val="top"/>
          </w:tcPr>
          <w:p>
            <w:pPr>
              <w:spacing w:after="30"/>
            </w:pPr>
            <w:r>
              <w:rPr>
                <w:rFonts w:ascii="Aptos" w:hAnsi="Aptos"/>
                <w:sz w:val="15"/>
              </w:rPr>
              <w:t>Organizations that need a structured technical and governance view of potential NIS2 exposure.</w:t>
            </w:r>
          </w:p>
        </w:tc>
        <w:tc>
          <w:tcPr>
            <w:tcW w:type="dxa" w:w="4248"/>
            <w:tcMar>
              <w:top w:w="90" w:type="dxa"/>
              <w:start w:w="100" w:type="dxa"/>
              <w:bottom w:w="90" w:type="dxa"/>
              <w:end w:w="100" w:type="dxa"/>
            </w:tcMar>
            <w:vAlign w:val="top"/>
          </w:tcPr>
          <w:p>
            <w:pPr>
              <w:spacing w:after="30"/>
            </w:pPr>
            <w:r>
              <w:rPr>
                <w:rFonts w:ascii="Aptos" w:hAnsi="Aptos"/>
                <w:sz w:val="15"/>
              </w:rPr>
              <w:t>Entity and service footprint, preliminary applicability/classification support, control baseline, governance gaps, evidence needs, and remediation roadmap. Legal conclusions remain with counsel.</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Readiness Program</w:t>
            </w:r>
          </w:p>
        </w:tc>
        <w:tc>
          <w:tcPr>
            <w:tcW w:type="dxa" w:w="1656"/>
            <w:tcMar>
              <w:top w:w="90" w:type="dxa"/>
              <w:start w:w="100" w:type="dxa"/>
              <w:bottom w:w="90" w:type="dxa"/>
              <w:end w:w="100" w:type="dxa"/>
            </w:tcMar>
            <w:vAlign w:val="top"/>
          </w:tcPr>
          <w:p>
            <w:pPr>
              <w:spacing w:after="30"/>
            </w:pPr>
            <w:r>
              <w:rPr>
                <w:rFonts w:ascii="Aptos" w:hAnsi="Aptos"/>
                <w:sz w:val="15"/>
              </w:rPr>
              <w:t>From $30,000</w:t>
            </w:r>
          </w:p>
        </w:tc>
        <w:tc>
          <w:tcPr>
            <w:tcW w:type="dxa" w:w="3168"/>
            <w:tcMar>
              <w:top w:w="90" w:type="dxa"/>
              <w:start w:w="100" w:type="dxa"/>
              <w:bottom w:w="90" w:type="dxa"/>
              <w:end w:w="100" w:type="dxa"/>
            </w:tcMar>
            <w:vAlign w:val="top"/>
          </w:tcPr>
          <w:p>
            <w:pPr>
              <w:spacing w:after="30"/>
            </w:pPr>
            <w:r>
              <w:rPr>
                <w:rFonts w:ascii="Aptos" w:hAnsi="Aptos"/>
                <w:sz w:val="15"/>
              </w:rPr>
              <w:t>Organizations implementing NIS2 risk-management, governance, supplier, resilience, and incident-reporting requirements.</w:t>
            </w:r>
          </w:p>
        </w:tc>
        <w:tc>
          <w:tcPr>
            <w:tcW w:type="dxa" w:w="4248"/>
            <w:tcMar>
              <w:top w:w="90" w:type="dxa"/>
              <w:start w:w="100" w:type="dxa"/>
              <w:bottom w:w="90" w:type="dxa"/>
              <w:end w:w="100" w:type="dxa"/>
            </w:tcMar>
            <w:vAlign w:val="top"/>
          </w:tcPr>
          <w:p>
            <w:pPr>
              <w:spacing w:after="30"/>
            </w:pPr>
            <w:r>
              <w:rPr>
                <w:rFonts w:ascii="Aptos" w:hAnsi="Aptos"/>
                <w:sz w:val="15"/>
              </w:rPr>
              <w:t>Assessment plus governance design, policies and controls, supplier-security model, incident workflow, evidence model, remediation tracking, and management briefing.</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Multi-Country / Complex Readiness</w:t>
            </w:r>
          </w:p>
        </w:tc>
        <w:tc>
          <w:tcPr>
            <w:tcW w:type="dxa" w:w="1656"/>
            <w:tcMar>
              <w:top w:w="90" w:type="dxa"/>
              <w:start w:w="100" w:type="dxa"/>
              <w:bottom w:w="90" w:type="dxa"/>
              <w:end w:w="100" w:type="dxa"/>
            </w:tcMar>
            <w:vAlign w:val="top"/>
          </w:tcPr>
          <w:p>
            <w:pPr>
              <w:spacing w:after="30"/>
            </w:pPr>
            <w:r>
              <w:rPr>
                <w:rFonts w:ascii="Aptos" w:hAnsi="Aptos"/>
                <w:sz w:val="15"/>
              </w:rPr>
              <w:t>From $50,000</w:t>
            </w:r>
          </w:p>
        </w:tc>
        <w:tc>
          <w:tcPr>
            <w:tcW w:type="dxa" w:w="3168"/>
            <w:tcMar>
              <w:top w:w="90" w:type="dxa"/>
              <w:start w:w="100" w:type="dxa"/>
              <w:bottom w:w="90" w:type="dxa"/>
              <w:end w:w="100" w:type="dxa"/>
            </w:tcMar>
            <w:vAlign w:val="top"/>
          </w:tcPr>
          <w:p>
            <w:pPr>
              <w:spacing w:after="30"/>
            </w:pPr>
            <w:r>
              <w:rPr>
                <w:rFonts w:ascii="Aptos" w:hAnsi="Aptos"/>
                <w:sz w:val="15"/>
              </w:rPr>
              <w:t>Groups with several legal entities, Member States, regulated services, or overlapping EU requirements.</w:t>
            </w:r>
          </w:p>
        </w:tc>
        <w:tc>
          <w:tcPr>
            <w:tcW w:type="dxa" w:w="4248"/>
            <w:tcMar>
              <w:top w:w="90" w:type="dxa"/>
              <w:start w:w="100" w:type="dxa"/>
              <w:bottom w:w="90" w:type="dxa"/>
              <w:end w:w="100" w:type="dxa"/>
            </w:tcMar>
            <w:vAlign w:val="top"/>
          </w:tcPr>
          <w:p>
            <w:pPr>
              <w:spacing w:after="30"/>
            </w:pPr>
            <w:r>
              <w:rPr>
                <w:rFonts w:ascii="Aptos" w:hAnsi="Aptos"/>
                <w:sz w:val="15"/>
              </w:rPr>
              <w:t>Multi-jurisdiction scoping with counsel, group control architecture, local variance tracking, cross-entity evidence model, governance reporting, and implementation coordination.</w:t>
            </w:r>
          </w:p>
        </w:tc>
      </w:tr>
    </w:tbl>
    <w:p>
      <w:pPr>
        <w:pStyle w:val="DeveloperNote"/>
      </w:pPr>
      <w:r>
        <w:t>Website treatment: three cards on desktop, stacked cards on mobile. Each card links to Book a 30-Minute Consultation. Final scope is confirmed in the Statement of Work.</w:t>
      </w:r>
    </w:p>
    <w:p>
      <w:pPr>
        <w:pStyle w:val="DeveloperNote"/>
      </w:pPr>
      <w:r>
        <w:t>External audit or certification fees, legal advice, penetration testing, software, technical remediation, travel, production changes, and other third-party costs are separate where applicable.</w:t>
      </w:r>
    </w:p>
    <w:p>
      <w:pPr>
        <w:pStyle w:val="Heading2"/>
      </w:pPr>
      <w:r>
        <w:t>What Changes</w:t>
      </w:r>
    </w:p>
    <w:p>
      <w:pPr>
        <w:pStyle w:val="ListBullet"/>
        <w:ind w:left="288" w:hanging="173"/>
      </w:pPr>
      <w:r>
        <w:t>After NIS2 readiness:</w:t>
      </w:r>
    </w:p>
    <w:p>
      <w:pPr>
        <w:pStyle w:val="ListBullet"/>
        <w:ind w:left="288" w:hanging="173"/>
      </w:pPr>
      <w:r>
        <w:t>You know whether NIS2 applies and what obligations it introduces.</w:t>
      </w:r>
    </w:p>
    <w:p>
      <w:pPr>
        <w:pStyle w:val="ListBullet"/>
        <w:ind w:left="288" w:hanging="173"/>
      </w:pPr>
      <w:r>
        <w:t>You have a plan for closing gaps and demonstrating your posture.</w:t>
      </w:r>
    </w:p>
    <w:p>
      <w:pPr>
        <w:pStyle w:val="Heading2"/>
      </w:pPr>
      <w:r>
        <w:t>Important Scope Information</w:t>
      </w:r>
    </w:p>
    <w:p>
      <w:pPr>
        <w:pStyle w:val="ListBullet"/>
        <w:ind w:left="288" w:hanging="173"/>
      </w:pPr>
      <w:r>
        <w:t>Cyvelle supports technical and governance readiness. Because NIS2 is implemented through national law and Member State transposition remains uneven, jurisdiction, applicability, entity classification, and legal interpretation are confirmed with qualified counsel.</w:t>
      </w:r>
    </w:p>
    <w:p>
      <w:pPr>
        <w:pStyle w:val="Heading2"/>
      </w:pPr>
      <w:r>
        <w:t>Why Cyvelle</w:t>
      </w:r>
    </w:p>
    <w:p>
      <w:pPr>
        <w:pStyle w:val="ListBullet"/>
        <w:ind w:left="288" w:hanging="173"/>
      </w:pPr>
      <w:r>
        <w:t>Temi’s experience across EU-regulated security and compliance frameworks helps contextualize NIS2 alongside other obligations.</w:t>
      </w:r>
    </w:p>
    <w:p>
      <w:pPr>
        <w:pStyle w:val="Heading2"/>
      </w:pPr>
      <w:r>
        <w:t>Delivered by Temi (Founder Module)</w:t>
      </w:r>
    </w:p>
    <w:p>
      <w:r>
        <w:t>Led by Temi Oyawoye, founder of Cyvelle Consulting.</w:t>
      </w:r>
    </w:p>
    <w:p>
      <w:r>
        <w:t>Temi has spent more than two decades building compliance programs and leading audits across financial services, media and entertainment, healthcare, and technology  -  the kind of range that comes from being audited as much as from auditing. Every Cyvelle engagement is led personally by Temi, from the first conversation through final delivery.</w:t>
      </w:r>
    </w:p>
    <w:p>
      <w:r>
        <w:t>CISA | CISM | CRISC | CDPSE | PCI-QSA | MSIS</w:t>
        <w:br/>
        <w:t>About Temi to · Connect on LinkedIn to</w:t>
      </w:r>
    </w:p>
    <w:p>
      <w:pPr>
        <w:pStyle w:val="Heading2"/>
      </w:pPr>
      <w:r>
        <w:t>FAQ</w:t>
      </w:r>
    </w:p>
    <w:p>
      <w:r>
        <w:t>Is NIS2 the same as ISO 27001 or SOC 2?</w:t>
        <w:br/>
        <w:t>No. NIS2 is an EU directive on cybersecurity risk management and reporting. ISO 27001 and SOC 2 are voluntary frameworks and standards. Cyvelle helps you see how they intersect.</w:t>
      </w:r>
    </w:p>
    <w:p>
      <w:pPr>
        <w:pStyle w:val="Heading2"/>
      </w:pPr>
      <w:r>
        <w:t>Related Intelligence</w:t>
      </w:r>
    </w:p>
    <w:p>
      <w:pPr>
        <w:pStyle w:val="ListBullet"/>
        <w:ind w:left="288" w:hanging="173"/>
      </w:pPr>
      <w:r>
        <w:t>“NIS2 for non-EU-headquartered companies: what actually changes.”</w:t>
      </w:r>
    </w:p>
    <w:p>
      <w:pPr>
        <w:pStyle w:val="Heading2"/>
      </w:pPr>
      <w:r>
        <w:t>Related Services</w:t>
      </w:r>
    </w:p>
    <w:p>
      <w:pPr>
        <w:pStyle w:val="ListBullet"/>
        <w:ind w:left="288" w:hanging="173"/>
      </w:pPr>
      <w:r>
        <w:t>ISO 27001 Readiness</w:t>
      </w:r>
    </w:p>
    <w:p>
      <w:pPr>
        <w:pStyle w:val="ListBullet"/>
        <w:ind w:left="288" w:hanging="173"/>
      </w:pPr>
      <w:r>
        <w:t>Governance Blueprint</w:t>
      </w:r>
    </w:p>
    <w:p>
      <w:pPr>
        <w:pStyle w:val="Heading2"/>
      </w:pPr>
      <w:r>
        <w:t>Internal Linking Instructions</w:t>
      </w:r>
    </w:p>
    <w:p>
      <w:pPr>
        <w:pStyle w:val="ListBullet"/>
        <w:ind w:left="288" w:hanging="173"/>
      </w:pPr>
      <w:r>
        <w:t>Link NIS2 page to Compliance hub, ISO 27001, and Governance Blueprint.</w:t>
      </w:r>
    </w:p>
    <w:p>
      <w:pPr>
        <w:pStyle w:val="Heading2"/>
      </w:pPr>
      <w:r>
        <w:t>Developer Notes</w:t>
      </w:r>
    </w:p>
    <w:p>
      <w:pPr>
        <w:pStyle w:val="ListBullet"/>
        <w:ind w:left="288" w:hanging="173"/>
      </w:pPr>
      <w:r>
        <w:t>Keep regulatory dates in Intelligence.</w:t>
      </w:r>
    </w:p>
    <w:p>
      <w:pPr>
        <w:pStyle w:val="Heading2"/>
      </w:pPr>
      <w:r>
        <w:t>Final Call to Action</w:t>
      </w:r>
    </w:p>
    <w:p>
      <w:r>
        <w:t>Ready to clarify the right path?</w:t>
      </w:r>
    </w:p>
    <w:p>
      <w:r>
        <w:t>Bring the business trigger, deadline, and current challenge. Cyvelle will confirm whether this is the right starting point and what the next decision should be.</w:t>
      </w:r>
    </w:p>
    <w:p>
      <w:r>
        <w:rPr>
          <w:b/>
          <w:color w:val="1F4E79"/>
        </w:rPr>
        <w:t>Book a 30-Minute Consultation</w:t>
      </w:r>
    </w:p>
    <w:p>
      <w:pPr>
        <w:pStyle w:val="DeveloperNote"/>
      </w:pPr>
      <w:r>
        <w:t>Recommended form fields: Name | Work email | Company | Service | Message</w:t>
      </w:r>
    </w:p>
    <w:p>
      <w:pPr>
        <w:pStyle w:val="Heading2"/>
      </w:pPr>
      <w:r>
        <w:t>Final Developer Rules</w:t>
      </w:r>
    </w:p>
    <w:p>
      <w:pPr>
        <w:pStyle w:val="ListBullet"/>
        <w:ind w:left="288" w:hanging="173"/>
      </w:pPr>
      <w:r>
        <w:t>Keep the sticky header CTA as Book a 30-Minute Consultation.</w:t>
      </w:r>
    </w:p>
    <w:p>
      <w:pPr>
        <w:pStyle w:val="ListBullet"/>
        <w:ind w:left="288" w:hanging="173"/>
      </w:pPr>
      <w:r>
        <w:t>Render What You Get as a high-contrast deliverables table or card grid.</w:t>
      </w:r>
    </w:p>
    <w:p>
      <w:pPr>
        <w:pStyle w:val="ListBullet"/>
        <w:ind w:left="288" w:hanging="173"/>
      </w:pPr>
      <w:r>
        <w:t>Render pricing as three cards on desktop and stacked cards on mobile. The Governance Blueprint uses one fixed-price block.</w:t>
      </w:r>
    </w:p>
    <w:p>
      <w:pPr>
        <w:pStyle w:val="ListBullet"/>
        <w:ind w:left="288" w:hanging="173"/>
      </w:pPr>
      <w:r>
        <w:t>Do not expose internal professional-hour guardrails, capacity ceilings, or internal delivery constraints from the Pricing, Scope &amp; Delivery Guide.</w:t>
      </w:r>
    </w:p>
    <w:p>
      <w:pPr>
        <w:pStyle w:val="ListBullet"/>
        <w:ind w:left="288" w:hanging="173"/>
      </w:pPr>
      <w:r>
        <w:t>Use one service-specific process only. Do not add a duplicate global process underneath it.</w:t>
      </w:r>
    </w:p>
    <w:p>
      <w:pPr>
        <w:pStyle w:val="ListBullet"/>
        <w:ind w:left="288" w:hanging="173"/>
      </w:pPr>
      <w:r>
        <w:t>Place Important Scope Information after process and pricing, and before Why Cyvelle, founder module, and FAQ.</w:t>
      </w:r>
    </w:p>
    <w:p>
      <w:pPr>
        <w:pStyle w:val="ListBullet"/>
        <w:ind w:left="288" w:hanging="173"/>
      </w:pPr>
      <w:r>
        <w:t>Use Temi Oyawoye on first mention and in headings. Use Temi naturally thereafter.</w:t>
      </w:r>
    </w:p>
    <w:p>
      <w:pPr>
        <w:pStyle w:val="ListBullet"/>
        <w:ind w:left="288" w:hanging="173"/>
      </w:pPr>
      <w:r>
        <w:t>Founder module links to About and LinkedIn.</w:t>
      </w:r>
    </w:p>
    <w:p>
      <w:pPr>
        <w:pStyle w:val="ListBullet"/>
        <w:ind w:left="288" w:hanging="173"/>
      </w:pPr>
      <w:r>
        <w:t>Hide Related Intelligence until at least two relevant items are live.</w:t>
      </w:r>
    </w:p>
    <w:p>
      <w:pPr>
        <w:pStyle w:val="ListBullet"/>
        <w:ind w:left="288" w:hanging="173"/>
      </w:pPr>
      <w:r>
        <w:t>Do not add guarantees, audit-pass claims, client-count claims, or unsupported quantified outcomes.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4"/>
      </w:rPr>
      <w:t>Developer implementation document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6969"/>
        <w:sz w:val="15"/>
      </w:rPr>
      <w:t>CYVELLE CONSULTING  |  DEVELOPER BUILD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veloperNote">
    <w:name w:val="Developer Note"/>
    <w:pPr>
      <w:spacing w:after="80"/>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