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Cybersecurity Maturity Assessment</w:t>
      </w:r>
    </w:p>
    <w:p>
      <w:pPr>
        <w:spacing w:after="200"/>
      </w:pPr>
      <w:r>
        <w:rPr>
          <w:i/>
          <w:color w:val="505050"/>
        </w:rPr>
        <w:t>Developer-ready service page transcript | Source: Launch Priority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  <w:tblHeader w:val="true"/>
        </w:trPr>
        <w:tc>
          <w:tcPr>
            <w:tcW w:type="dxa" w:w="10166"/>
            <w:shd w:fill="EAF2F8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17365D"/>
              </w:rPr>
              <w:t>Build status</w:t>
            </w:r>
          </w:p>
          <w:p>
            <w:pPr>
              <w:spacing w:after="0"/>
            </w:pPr>
            <w:r>
              <w:t>This version supersedes earlier no-pricing instructions. Public pricing is approved. Use the pricing section below on this service page. The Governance Blueprint is the sole single-price exception.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Build field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6"/>
              </w:rPr>
              <w:t>Approved value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Page name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Cybersecurity Maturity Assessment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URL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/services/risk/cybersecurity-maturity-assessment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SEO title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Cybersecurity Maturity Assessment | Know Where Your Security Program Actually Stands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Meta description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Cybersecurity maturity assessment consulting for organizations needing a clear view of their security posture and priorities  -  led personally by Temi.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Primary keyword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cybersecurity maturity assessment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Secondary keywords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security maturity assessment consulting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Breadcrumb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Home &gt; Services &gt; Cyber Risk &amp; Resilience &gt; Cybersecurity Maturity Assessment</w:t>
            </w:r>
          </w:p>
        </w:tc>
      </w:tr>
      <w:tr>
        <w:trPr>
          <w:cantSplit/>
        </w:trPr>
        <w:tc>
          <w:tcPr>
            <w:tcW w:type="dxa" w:w="201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Primary CTA</w:t>
            </w:r>
          </w:p>
        </w:tc>
        <w:tc>
          <w:tcPr>
            <w:tcW w:type="dxa" w:w="849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6"/>
              </w:rPr>
              <w:t>Book a 30-Minute Consultation</w:t>
            </w:r>
          </w:p>
        </w:tc>
      </w:tr>
    </w:tbl>
    <w:p>
      <w:pPr>
        <w:pStyle w:val="Heading1"/>
      </w:pPr>
      <w:r>
        <w:t>Public Page Transcript</w:t>
      </w:r>
    </w:p>
    <w:p>
      <w:pPr>
        <w:pStyle w:val="Heading2"/>
      </w:pPr>
      <w:r>
        <w:t>Hero</w:t>
      </w:r>
    </w:p>
    <w:p>
      <w:pPr>
        <w:pStyle w:val="Heading1"/>
      </w:pPr>
      <w:r>
        <w:t>Know where your security program actually stands.</w:t>
      </w:r>
    </w:p>
    <w:p>
      <w:r>
        <w:t>Security programs generate activity; maturity assessments focus on outcomes. Cyvelle’s cybersecurity maturity assessment gives leadership a grounded view of current posture and practical next steps.</w:t>
      </w:r>
    </w:p>
    <w:p>
      <w:r>
        <w:t>Primary CTA: Book a 30-Minute Consultation</w:t>
        <w:br/>
        <w:t>Secondary CTA: See what the engagement includes.</w:t>
      </w:r>
    </w:p>
    <w:p>
      <w:pPr>
        <w:pStyle w:val="Heading2"/>
      </w:pPr>
      <w:r>
        <w:t>Who This Is For</w:t>
      </w:r>
    </w:p>
    <w:p>
      <w:pPr>
        <w:pStyle w:val="ListBullet"/>
        <w:ind w:left="288" w:hanging="173"/>
      </w:pPr>
      <w:r>
        <w:t>Organizations with established security activities but limited visibility into actual maturity.</w:t>
      </w:r>
    </w:p>
    <w:p>
      <w:pPr>
        <w:pStyle w:val="Heading2"/>
      </w:pPr>
      <w:r>
        <w:t>What Brings Clients Here</w:t>
      </w:r>
    </w:p>
    <w:p>
      <w:pPr>
        <w:pStyle w:val="ListBullet"/>
        <w:ind w:left="288" w:hanging="173"/>
      </w:pPr>
      <w:r>
        <w:t>Boards or executives are asking for a simple, honest view of security maturity.</w:t>
      </w:r>
    </w:p>
    <w:p>
      <w:pPr>
        <w:pStyle w:val="Heading2"/>
      </w:pPr>
      <w:r>
        <w:t>What This Service Solves</w:t>
      </w:r>
    </w:p>
    <w:p>
      <w:r>
        <w:t>Maturity assessment solves the “we don’t know how good our program really is” problem. Cyvelle helps you:</w:t>
      </w:r>
    </w:p>
    <w:p>
      <w:r>
        <w:t>Assess current controls and practices against recognized models.</w:t>
      </w:r>
    </w:p>
    <w:p>
      <w:r>
        <w:t>Identify strengths and weaknesses.</w:t>
      </w:r>
    </w:p>
    <w:p>
      <w:r>
        <w:t>Prioritize improvements.</w:t>
      </w:r>
    </w:p>
    <w:p>
      <w:pPr>
        <w:pStyle w:val="Heading2"/>
      </w:pPr>
      <w:r>
        <w:t>What Cyvelle Does</w:t>
      </w:r>
    </w:p>
    <w:p>
      <w:pPr>
        <w:pStyle w:val="ListBullet"/>
        <w:ind w:left="288" w:hanging="173"/>
      </w:pPr>
      <w:r>
        <w:t>Cyvelle:</w:t>
      </w:r>
    </w:p>
    <w:p>
      <w:pPr>
        <w:pStyle w:val="ListBullet"/>
        <w:ind w:left="288" w:hanging="173"/>
      </w:pPr>
      <w:r>
        <w:t>Interviews stakeholders.</w:t>
      </w:r>
    </w:p>
    <w:p>
      <w:pPr>
        <w:pStyle w:val="ListBullet"/>
        <w:ind w:left="288" w:hanging="173"/>
      </w:pPr>
      <w:r>
        <w:t>Reviews controls, policies, incidents, and metrics.</w:t>
      </w:r>
    </w:p>
    <w:p>
      <w:pPr>
        <w:pStyle w:val="ListBullet"/>
        <w:ind w:left="288" w:hanging="173"/>
      </w:pPr>
      <w:r>
        <w:t>Assesses maturity against a chosen model (e.g., NIST CSF).</w:t>
      </w:r>
    </w:p>
    <w:p>
      <w:pPr>
        <w:pStyle w:val="ListBullet"/>
        <w:ind w:left="288" w:hanging="173"/>
      </w:pPr>
      <w:r>
        <w:t>Delivers a maturity report and roadmap.</w:t>
      </w:r>
    </w:p>
    <w:p>
      <w:pPr>
        <w:pStyle w:val="Heading2"/>
      </w:pPr>
      <w:r>
        <w:t>What You Get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Deliverable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What it gives you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Maturity report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written assessment of your current state.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Strengths and gaps summary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Clear areas where you’re strong and weak.</w:t>
            </w:r>
          </w:p>
        </w:tc>
      </w:tr>
      <w:tr>
        <w:trPr>
          <w:cantSplit/>
        </w:trPr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Prioritized improvement roadmap</w:t>
            </w:r>
          </w:p>
        </w:tc>
        <w:tc>
          <w:tcPr>
            <w:tcW w:type="dxa" w:w="5083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A realistic plan for the next steps.</w:t>
            </w:r>
          </w:p>
        </w:tc>
      </w:tr>
    </w:tbl>
    <w:p>
      <w:pPr>
        <w:pStyle w:val="Heading2"/>
      </w:pPr>
      <w:r>
        <w:t>How the Engagement Works</w:t>
      </w:r>
    </w:p>
    <w:p>
      <w:r>
        <w:t>Fixed-fee assessment over a defined period.</w:t>
      </w:r>
    </w:p>
    <w:p>
      <w:pPr>
        <w:pStyle w:val="Heading2"/>
        <w:keepNext/>
        <w:pageBreakBefore/>
      </w:pPr>
      <w:r>
        <w:t>Pricing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cantSplit/>
          <w:tblHeader w:val="true"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Engagement level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Public price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Best fit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  <w:shd w:fill="D9EAF7"/>
          </w:tcPr>
          <w:p>
            <w:pPr>
              <w:spacing w:after="30"/>
            </w:pPr>
            <w:r>
              <w:rPr>
                <w:rFonts w:ascii="Aptos" w:hAnsi="Aptos"/>
                <w:b/>
                <w:sz w:val="15"/>
              </w:rPr>
              <w:t>Scope distinction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Focused Maturity Assessment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$9,500 fixed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One organization seeking a clear baseline against a primary model such as NIST CSF.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Stakeholder interviews, evidence review, domain scoring, key strengths/gaps, executive summary, and prioritized roadmap.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Multi-Framework Assessment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From $15,000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Organizations that need one maturity exercise mapped across several customer or regulatory frameworks.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Primary maturity model plus cross-framework mapping, broader evidence sampling, consolidated findings, executive scorecard, and investment roadmap.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Multi-Entity / Portfolio Assessment</w:t>
            </w:r>
          </w:p>
        </w:tc>
        <w:tc>
          <w:tcPr>
            <w:tcW w:type="dxa" w:w="1656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From $25,000</w:t>
            </w:r>
          </w:p>
        </w:tc>
        <w:tc>
          <w:tcPr>
            <w:tcW w:type="dxa" w:w="316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Groups, portfolios, or complex business units that need comparable maturity views across multiple scopes.</w:t>
            </w:r>
          </w:p>
        </w:tc>
        <w:tc>
          <w:tcPr>
            <w:tcW w:type="dxa" w:w="4248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30"/>
            </w:pPr>
            <w:r>
              <w:rPr>
                <w:rFonts w:ascii="Aptos" w:hAnsi="Aptos"/>
                <w:sz w:val="15"/>
              </w:rPr>
              <w:t>Multiple scope baselines, common scoring model, comparative reporting, cross-entity priority analysis, and board-level roadmap.</w:t>
            </w:r>
          </w:p>
        </w:tc>
      </w:tr>
    </w:tbl>
    <w:p>
      <w:pPr>
        <w:pStyle w:val="DeveloperNote"/>
      </w:pPr>
      <w:r>
        <w:t>Website treatment: three cards on desktop, stacked cards on mobile. Each card links to Book a 30-Minute Consultation. Final scope is confirmed in the Statement of Work.</w:t>
      </w:r>
    </w:p>
    <w:p>
      <w:pPr>
        <w:pStyle w:val="DeveloperNote"/>
      </w:pPr>
      <w:r>
        <w:t>Out-of-scope specialist services, software, travel, production changes, and other third-party costs are separate where applicable.</w:t>
      </w:r>
    </w:p>
    <w:p>
      <w:pPr>
        <w:pStyle w:val="Heading2"/>
      </w:pPr>
      <w:r>
        <w:t>What Changes</w:t>
      </w:r>
    </w:p>
    <w:p>
      <w:pPr>
        <w:pStyle w:val="ListBullet"/>
        <w:ind w:left="288" w:hanging="173"/>
      </w:pPr>
      <w:r>
        <w:t>After maturity assessment:</w:t>
      </w:r>
    </w:p>
    <w:p>
      <w:pPr>
        <w:pStyle w:val="ListBullet"/>
        <w:ind w:left="288" w:hanging="173"/>
      </w:pPr>
      <w:r>
        <w:t>Leadership has a clearer picture of security posture and priorities.</w:t>
      </w:r>
    </w:p>
    <w:p>
      <w:pPr>
        <w:pStyle w:val="Heading2"/>
      </w:pPr>
      <w:r>
        <w:t>Important Scope Information</w:t>
      </w:r>
    </w:p>
    <w:p>
      <w:pPr>
        <w:pStyle w:val="ListBullet"/>
        <w:ind w:left="288" w:hanging="173"/>
      </w:pPr>
      <w:r>
        <w:t>Maturity assessment is diagnostic; implementation work is separate.</w:t>
      </w:r>
    </w:p>
    <w:p>
      <w:pPr>
        <w:pStyle w:val="Heading2"/>
      </w:pPr>
      <w:r>
        <w:t>Why Cyvelle</w:t>
      </w:r>
    </w:p>
    <w:p>
      <w:pPr>
        <w:pStyle w:val="ListBullet"/>
        <w:ind w:left="288" w:hanging="173"/>
      </w:pPr>
      <w:r>
        <w:t>Temi’s experience across frameworks supports a balanced, practical assessment.</w:t>
      </w:r>
    </w:p>
    <w:p>
      <w:pPr>
        <w:pStyle w:val="Heading2"/>
      </w:pPr>
      <w:r>
        <w:t>Delivered by Temi (Founder Module)</w:t>
      </w:r>
    </w:p>
    <w:p>
      <w:r>
        <w:t>Led by Temi Oyawoye, founder of Cyvelle Consulting.</w:t>
      </w:r>
    </w:p>
    <w:p>
      <w:r>
        <w:t>Temi has spent more than two decades building compliance programs and leading audits across financial services, media and entertainment, healthcare, and technology  -  the kind of range that comes from being audited as much as from auditing. Every Cyvelle engagement is led personally by Temi, from the first conversation through final delivery.</w:t>
      </w:r>
    </w:p>
    <w:p>
      <w:r>
        <w:t>CISA | CISM | CRISC | CDPSE | PCI-QSA | MSIS</w:t>
        <w:br/>
        <w:t>About Temi to · Connect on LinkedIn to</w:t>
      </w:r>
    </w:p>
    <w:p>
      <w:pPr>
        <w:pStyle w:val="Heading2"/>
      </w:pPr>
      <w:r>
        <w:t>FAQ</w:t>
      </w:r>
    </w:p>
    <w:p>
      <w:r>
        <w:t>Which maturity model do you use?</w:t>
        <w:br/>
        <w:t>Cyvelle typically uses NIST CSF or a similar recognized model; the choice is agreed during scoping.</w:t>
      </w:r>
    </w:p>
    <w:p>
      <w:pPr>
        <w:pStyle w:val="Heading2"/>
      </w:pPr>
      <w:r>
        <w:t>Related Intelligence</w:t>
      </w:r>
    </w:p>
    <w:p>
      <w:pPr>
        <w:pStyle w:val="ListBullet"/>
        <w:ind w:left="288" w:hanging="173"/>
      </w:pPr>
      <w:r>
        <w:t>“How to explain security maturity to a board.”</w:t>
      </w:r>
    </w:p>
    <w:p>
      <w:pPr>
        <w:pStyle w:val="Heading2"/>
      </w:pPr>
      <w:r>
        <w:t>Related Services</w:t>
      </w:r>
    </w:p>
    <w:p>
      <w:pPr>
        <w:pStyle w:val="ListBullet"/>
        <w:ind w:left="288" w:hanging="173"/>
      </w:pPr>
      <w:r>
        <w:t>Virtual CISO</w:t>
      </w:r>
    </w:p>
    <w:p>
      <w:pPr>
        <w:pStyle w:val="ListBullet"/>
        <w:ind w:left="288" w:hanging="173"/>
      </w:pPr>
      <w:r>
        <w:t>Governance Blueprint</w:t>
      </w:r>
    </w:p>
    <w:p>
      <w:pPr>
        <w:pStyle w:val="Heading2"/>
      </w:pPr>
      <w:r>
        <w:t>Internal Linking Instructions</w:t>
      </w:r>
    </w:p>
    <w:p>
      <w:pPr>
        <w:pStyle w:val="ListBullet"/>
        <w:ind w:left="288" w:hanging="173"/>
      </w:pPr>
      <w:r>
        <w:t>Link Maturity Assessment page to Risk hub, Virtual CISO, and Governance Blueprint.</w:t>
      </w:r>
    </w:p>
    <w:p>
      <w:pPr>
        <w:pStyle w:val="Heading2"/>
      </w:pPr>
      <w:r>
        <w:t>Developer Notes</w:t>
      </w:r>
    </w:p>
    <w:p>
      <w:pPr>
        <w:pStyle w:val="ListBullet"/>
        <w:ind w:left="288" w:hanging="173"/>
      </w:pPr>
      <w:r>
        <w:t>Keep tone objective and non-alarmist.</w:t>
      </w:r>
    </w:p>
    <w:p>
      <w:pPr>
        <w:pStyle w:val="Heading2"/>
      </w:pPr>
      <w:r>
        <w:t>Final Call to Action</w:t>
      </w:r>
    </w:p>
    <w:p>
      <w:r>
        <w:t>Ready to clarify the right path?</w:t>
      </w:r>
    </w:p>
    <w:p>
      <w:r>
        <w:t>Bring the business trigger, deadline, and current challenge. Cyvelle will confirm whether this is the right starting point and what the next decision should be.</w:t>
      </w:r>
    </w:p>
    <w:p>
      <w:r>
        <w:rPr>
          <w:b/>
          <w:color w:val="1F4E79"/>
        </w:rPr>
        <w:t>Book a 30-Minute Consultation</w:t>
      </w:r>
    </w:p>
    <w:p>
      <w:pPr>
        <w:pStyle w:val="DeveloperNote"/>
      </w:pPr>
      <w:r>
        <w:t>Recommended form fields: Name | Work email | Company | Service | Message</w:t>
      </w:r>
    </w:p>
    <w:p>
      <w:pPr>
        <w:pStyle w:val="Heading2"/>
      </w:pPr>
      <w:r>
        <w:t>Final Developer Rules</w:t>
      </w:r>
    </w:p>
    <w:p>
      <w:pPr>
        <w:pStyle w:val="ListBullet"/>
        <w:ind w:left="288" w:hanging="173"/>
      </w:pPr>
      <w:r>
        <w:t>Keep the sticky header CTA as Book a 30-Minute Consultation.</w:t>
      </w:r>
    </w:p>
    <w:p>
      <w:pPr>
        <w:pStyle w:val="ListBullet"/>
        <w:ind w:left="288" w:hanging="173"/>
      </w:pPr>
      <w:r>
        <w:t>Render What You Get as a high-contrast deliverables table or card grid.</w:t>
      </w:r>
    </w:p>
    <w:p>
      <w:pPr>
        <w:pStyle w:val="ListBullet"/>
        <w:ind w:left="288" w:hanging="173"/>
      </w:pPr>
      <w:r>
        <w:t>Render pricing as three cards on desktop and stacked cards on mobile. The Governance Blueprint uses one fixed-price block.</w:t>
      </w:r>
    </w:p>
    <w:p>
      <w:pPr>
        <w:pStyle w:val="ListBullet"/>
        <w:ind w:left="288" w:hanging="173"/>
      </w:pPr>
      <w:r>
        <w:t>Do not expose internal professional-hour guardrails, capacity ceilings, or internal delivery constraints from the Pricing, Scope &amp; Delivery Guide.</w:t>
      </w:r>
    </w:p>
    <w:p>
      <w:pPr>
        <w:pStyle w:val="ListBullet"/>
        <w:ind w:left="288" w:hanging="173"/>
      </w:pPr>
      <w:r>
        <w:t>Use one service-specific process only. Do not add a duplicate global process underneath it.</w:t>
      </w:r>
    </w:p>
    <w:p>
      <w:pPr>
        <w:pStyle w:val="ListBullet"/>
        <w:ind w:left="288" w:hanging="173"/>
      </w:pPr>
      <w:r>
        <w:t>Place Important Scope Information after process and pricing, and before Why Cyvelle, founder module, and FAQ.</w:t>
      </w:r>
    </w:p>
    <w:p>
      <w:pPr>
        <w:pStyle w:val="ListBullet"/>
        <w:ind w:left="288" w:hanging="173"/>
      </w:pPr>
      <w:r>
        <w:t>Use Temi Oyawoye on first mention and in headings. Use Temi naturally thereafter.</w:t>
      </w:r>
    </w:p>
    <w:p>
      <w:pPr>
        <w:pStyle w:val="ListBullet"/>
        <w:ind w:left="288" w:hanging="173"/>
      </w:pPr>
      <w:r>
        <w:t>Founder module links to About and LinkedIn.</w:t>
      </w:r>
    </w:p>
    <w:p>
      <w:pPr>
        <w:pStyle w:val="ListBullet"/>
        <w:ind w:left="288" w:hanging="173"/>
      </w:pPr>
      <w:r>
        <w:t>Hide Related Intelligence until at least two relevant items are live.</w:t>
      </w:r>
    </w:p>
    <w:p>
      <w:pPr>
        <w:pStyle w:val="ListBullet"/>
        <w:ind w:left="288" w:hanging="173"/>
      </w:pPr>
      <w:r>
        <w:t>Do not add guarantees, audit-pass claims, client-count claims, or unsupported quantified outcomes.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87878"/>
        <w:sz w:val="14"/>
      </w:rPr>
      <w:t>Developer implementation document  |  28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6969"/>
        <w:sz w:val="15"/>
      </w:rPr>
      <w:t>CYVELLE CONSULTING  |  DEVELOPER BUILD HANDOFF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veloperNote">
    <w:name w:val="Developer Note"/>
    <w:pPr>
      <w:spacing w:after="80"/>
    </w:pPr>
    <w:rPr>
      <w:rFonts w:ascii="Aptos" w:hAnsi="Aptos"/>
      <w:i/>
      <w:color w:val="5A5A5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