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ISO 42001 Readiness</w:t>
      </w:r>
    </w:p>
    <w:p>
      <w:pPr>
        <w:spacing w:after="200"/>
      </w:pPr>
      <w:r>
        <w:rPr>
          <w:i/>
          <w:color w:val="505050"/>
        </w:rPr>
        <w:t>Developer-ready service page transcript | Source: Launch Priority 3</w:t>
      </w:r>
    </w:p>
    <w:tbl>
      <w:tblPr>
        <w:tblW w:type="auto" w:w="0"/>
        <w:jc w:val="center"/>
        <w:tblLook w:firstColumn="1" w:firstRow="1" w:lastColumn="0" w:lastRow="0" w:noHBand="0" w:noVBand="1" w:val="04A0"/>
      </w:tblPr>
      <w:tblGrid>
        <w:gridCol w:w="10166"/>
      </w:tblGrid>
      <w:tr>
        <w:trPr>
          <w:cantSplit/>
          <w:tblHeader w:val="true"/>
        </w:trPr>
        <w:tc>
          <w:tcPr>
            <w:tcW w:type="dxa" w:w="10166"/>
            <w:shd w:fill="EAF2F8"/>
            <w:tcMar>
              <w:top w:w="120" w:type="dxa"/>
              <w:start w:w="140" w:type="dxa"/>
              <w:bottom w:w="120" w:type="dxa"/>
              <w:end w:w="140" w:type="dxa"/>
            </w:tcMar>
          </w:tcPr>
          <w:p>
            <w:r>
              <w:rPr>
                <w:b/>
                <w:color w:val="17365D"/>
              </w:rPr>
              <w:t>Build status</w:t>
            </w:r>
          </w:p>
          <w:p>
            <w:pPr>
              <w:spacing w:after="0"/>
            </w:pPr>
            <w:r>
              <w:t>This version supersedes earlier no-pricing instructions. Public pricing is approved. Use the pricing section below on this service page. The Governance Blueprint is the sole single-price exception.</w:t>
            </w:r>
          </w:p>
        </w:tc>
      </w:tr>
    </w:tbl>
    <w:p>
      <w:pPr>
        <w:spacing w:after="0"/>
      </w:pP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2016"/>
            <w:tcMar>
              <w:top w:w="90" w:type="dxa"/>
              <w:start w:w="100" w:type="dxa"/>
              <w:bottom w:w="90" w:type="dxa"/>
              <w:end w:w="100" w:type="dxa"/>
            </w:tcMar>
            <w:vAlign w:val="top"/>
            <w:shd w:fill="D9EAF7"/>
          </w:tcPr>
          <w:p>
            <w:pPr>
              <w:spacing w:after="30"/>
            </w:pPr>
            <w:r>
              <w:rPr>
                <w:rFonts w:ascii="Aptos" w:hAnsi="Aptos"/>
                <w:b/>
                <w:sz w:val="16"/>
              </w:rPr>
              <w:t>Build field</w:t>
            </w:r>
          </w:p>
        </w:tc>
        <w:tc>
          <w:tcPr>
            <w:tcW w:type="dxa" w:w="8496"/>
            <w:tcMar>
              <w:top w:w="90" w:type="dxa"/>
              <w:start w:w="100" w:type="dxa"/>
              <w:bottom w:w="90" w:type="dxa"/>
              <w:end w:w="100" w:type="dxa"/>
            </w:tcMar>
            <w:vAlign w:val="top"/>
            <w:shd w:fill="D9EAF7"/>
          </w:tcPr>
          <w:p>
            <w:pPr>
              <w:spacing w:after="30"/>
            </w:pPr>
            <w:r>
              <w:rPr>
                <w:rFonts w:ascii="Aptos" w:hAnsi="Aptos"/>
                <w:b/>
                <w:sz w:val="16"/>
              </w:rPr>
              <w:t>Approved value</w:t>
            </w:r>
          </w:p>
        </w:tc>
      </w:tr>
      <w:tr>
        <w:trPr>
          <w:cantSplit/>
        </w:trPr>
        <w:tc>
          <w:tcPr>
            <w:tcW w:type="dxa" w:w="2016"/>
            <w:tcMar>
              <w:top w:w="90" w:type="dxa"/>
              <w:start w:w="100" w:type="dxa"/>
              <w:bottom w:w="90" w:type="dxa"/>
              <w:end w:w="100" w:type="dxa"/>
            </w:tcMar>
            <w:vAlign w:val="top"/>
          </w:tcPr>
          <w:p>
            <w:pPr>
              <w:spacing w:after="30"/>
            </w:pPr>
            <w:r>
              <w:rPr>
                <w:rFonts w:ascii="Aptos" w:hAnsi="Aptos"/>
                <w:sz w:val="16"/>
              </w:rPr>
              <w:t>Page name</w:t>
            </w:r>
          </w:p>
        </w:tc>
        <w:tc>
          <w:tcPr>
            <w:tcW w:type="dxa" w:w="8496"/>
            <w:tcMar>
              <w:top w:w="90" w:type="dxa"/>
              <w:start w:w="100" w:type="dxa"/>
              <w:bottom w:w="90" w:type="dxa"/>
              <w:end w:w="100" w:type="dxa"/>
            </w:tcMar>
            <w:vAlign w:val="top"/>
          </w:tcPr>
          <w:p>
            <w:pPr>
              <w:spacing w:after="30"/>
            </w:pPr>
            <w:r>
              <w:rPr>
                <w:rFonts w:ascii="Aptos" w:hAnsi="Aptos"/>
                <w:sz w:val="16"/>
              </w:rPr>
              <w:t>ISO 42001 Readiness</w:t>
            </w:r>
          </w:p>
        </w:tc>
      </w:tr>
      <w:tr>
        <w:trPr>
          <w:cantSplit/>
        </w:trPr>
        <w:tc>
          <w:tcPr>
            <w:tcW w:type="dxa" w:w="2016"/>
            <w:tcMar>
              <w:top w:w="90" w:type="dxa"/>
              <w:start w:w="100" w:type="dxa"/>
              <w:bottom w:w="90" w:type="dxa"/>
              <w:end w:w="100" w:type="dxa"/>
            </w:tcMar>
            <w:vAlign w:val="top"/>
          </w:tcPr>
          <w:p>
            <w:pPr>
              <w:spacing w:after="30"/>
            </w:pPr>
            <w:r>
              <w:rPr>
                <w:rFonts w:ascii="Aptos" w:hAnsi="Aptos"/>
                <w:sz w:val="16"/>
              </w:rPr>
              <w:t>URL</w:t>
            </w:r>
          </w:p>
        </w:tc>
        <w:tc>
          <w:tcPr>
            <w:tcW w:type="dxa" w:w="8496"/>
            <w:tcMar>
              <w:top w:w="90" w:type="dxa"/>
              <w:start w:w="100" w:type="dxa"/>
              <w:bottom w:w="90" w:type="dxa"/>
              <w:end w:w="100" w:type="dxa"/>
            </w:tcMar>
            <w:vAlign w:val="top"/>
          </w:tcPr>
          <w:p>
            <w:pPr>
              <w:spacing w:after="30"/>
            </w:pPr>
            <w:r>
              <w:rPr>
                <w:rFonts w:ascii="Aptos" w:hAnsi="Aptos"/>
                <w:sz w:val="16"/>
              </w:rPr>
              <w:t>/services/ai-governance/iso-42001</w:t>
            </w:r>
          </w:p>
        </w:tc>
      </w:tr>
      <w:tr>
        <w:trPr>
          <w:cantSplit/>
        </w:trPr>
        <w:tc>
          <w:tcPr>
            <w:tcW w:type="dxa" w:w="2016"/>
            <w:tcMar>
              <w:top w:w="90" w:type="dxa"/>
              <w:start w:w="100" w:type="dxa"/>
              <w:bottom w:w="90" w:type="dxa"/>
              <w:end w:w="100" w:type="dxa"/>
            </w:tcMar>
            <w:vAlign w:val="top"/>
          </w:tcPr>
          <w:p>
            <w:pPr>
              <w:spacing w:after="30"/>
            </w:pPr>
            <w:r>
              <w:rPr>
                <w:rFonts w:ascii="Aptos" w:hAnsi="Aptos"/>
                <w:sz w:val="16"/>
              </w:rPr>
              <w:t>SEO title</w:t>
            </w:r>
          </w:p>
        </w:tc>
        <w:tc>
          <w:tcPr>
            <w:tcW w:type="dxa" w:w="8496"/>
            <w:tcMar>
              <w:top w:w="90" w:type="dxa"/>
              <w:start w:w="100" w:type="dxa"/>
              <w:bottom w:w="90" w:type="dxa"/>
              <w:end w:w="100" w:type="dxa"/>
            </w:tcMar>
            <w:vAlign w:val="top"/>
          </w:tcPr>
          <w:p>
            <w:pPr>
              <w:spacing w:after="30"/>
            </w:pPr>
            <w:r>
              <w:rPr>
                <w:rFonts w:ascii="Aptos" w:hAnsi="Aptos"/>
                <w:sz w:val="16"/>
              </w:rPr>
              <w:t>ISO 42001 Consulting &amp; Readiness | Prepare Your AI Management System for Certification</w:t>
            </w:r>
          </w:p>
        </w:tc>
      </w:tr>
      <w:tr>
        <w:trPr>
          <w:cantSplit/>
        </w:trPr>
        <w:tc>
          <w:tcPr>
            <w:tcW w:type="dxa" w:w="2016"/>
            <w:tcMar>
              <w:top w:w="90" w:type="dxa"/>
              <w:start w:w="100" w:type="dxa"/>
              <w:bottom w:w="90" w:type="dxa"/>
              <w:end w:w="100" w:type="dxa"/>
            </w:tcMar>
            <w:vAlign w:val="top"/>
          </w:tcPr>
          <w:p>
            <w:pPr>
              <w:spacing w:after="30"/>
            </w:pPr>
            <w:r>
              <w:rPr>
                <w:rFonts w:ascii="Aptos" w:hAnsi="Aptos"/>
                <w:sz w:val="16"/>
              </w:rPr>
              <w:t>Meta description</w:t>
            </w:r>
          </w:p>
        </w:tc>
        <w:tc>
          <w:tcPr>
            <w:tcW w:type="dxa" w:w="8496"/>
            <w:tcMar>
              <w:top w:w="90" w:type="dxa"/>
              <w:start w:w="100" w:type="dxa"/>
              <w:bottom w:w="90" w:type="dxa"/>
              <w:end w:w="100" w:type="dxa"/>
            </w:tcMar>
            <w:vAlign w:val="top"/>
          </w:tcPr>
          <w:p>
            <w:pPr>
              <w:spacing w:after="30"/>
            </w:pPr>
            <w:r>
              <w:rPr>
                <w:rFonts w:ascii="Aptos" w:hAnsi="Aptos"/>
                <w:sz w:val="16"/>
              </w:rPr>
              <w:t>ISO 42001 readiness consulting for organizations building AI management systems. Scope, risk, lifecycle controls, and certification-body handoff  -  led personally by Temi.</w:t>
            </w:r>
          </w:p>
        </w:tc>
      </w:tr>
      <w:tr>
        <w:trPr>
          <w:cantSplit/>
        </w:trPr>
        <w:tc>
          <w:tcPr>
            <w:tcW w:type="dxa" w:w="2016"/>
            <w:tcMar>
              <w:top w:w="90" w:type="dxa"/>
              <w:start w:w="100" w:type="dxa"/>
              <w:bottom w:w="90" w:type="dxa"/>
              <w:end w:w="100" w:type="dxa"/>
            </w:tcMar>
            <w:vAlign w:val="top"/>
          </w:tcPr>
          <w:p>
            <w:pPr>
              <w:spacing w:after="30"/>
            </w:pPr>
            <w:r>
              <w:rPr>
                <w:rFonts w:ascii="Aptos" w:hAnsi="Aptos"/>
                <w:sz w:val="16"/>
              </w:rPr>
              <w:t>Primary keyword</w:t>
            </w:r>
          </w:p>
        </w:tc>
        <w:tc>
          <w:tcPr>
            <w:tcW w:type="dxa" w:w="8496"/>
            <w:tcMar>
              <w:top w:w="90" w:type="dxa"/>
              <w:start w:w="100" w:type="dxa"/>
              <w:bottom w:w="90" w:type="dxa"/>
              <w:end w:w="100" w:type="dxa"/>
            </w:tcMar>
            <w:vAlign w:val="top"/>
          </w:tcPr>
          <w:p>
            <w:pPr>
              <w:spacing w:after="30"/>
            </w:pPr>
            <w:r>
              <w:rPr>
                <w:rFonts w:ascii="Aptos" w:hAnsi="Aptos"/>
                <w:sz w:val="16"/>
              </w:rPr>
              <w:t>ISO 42001 consulting</w:t>
            </w:r>
          </w:p>
        </w:tc>
      </w:tr>
      <w:tr>
        <w:trPr>
          <w:cantSplit/>
        </w:trPr>
        <w:tc>
          <w:tcPr>
            <w:tcW w:type="dxa" w:w="2016"/>
            <w:tcMar>
              <w:top w:w="90" w:type="dxa"/>
              <w:start w:w="100" w:type="dxa"/>
              <w:bottom w:w="90" w:type="dxa"/>
              <w:end w:w="100" w:type="dxa"/>
            </w:tcMar>
            <w:vAlign w:val="top"/>
          </w:tcPr>
          <w:p>
            <w:pPr>
              <w:spacing w:after="30"/>
            </w:pPr>
            <w:r>
              <w:rPr>
                <w:rFonts w:ascii="Aptos" w:hAnsi="Aptos"/>
                <w:sz w:val="16"/>
              </w:rPr>
              <w:t>Secondary keywords</w:t>
            </w:r>
          </w:p>
        </w:tc>
        <w:tc>
          <w:tcPr>
            <w:tcW w:type="dxa" w:w="8496"/>
            <w:tcMar>
              <w:top w:w="90" w:type="dxa"/>
              <w:start w:w="100" w:type="dxa"/>
              <w:bottom w:w="90" w:type="dxa"/>
              <w:end w:w="100" w:type="dxa"/>
            </w:tcMar>
            <w:vAlign w:val="top"/>
          </w:tcPr>
          <w:p>
            <w:pPr>
              <w:spacing w:after="30"/>
            </w:pPr>
            <w:r>
              <w:rPr>
                <w:rFonts w:ascii="Aptos" w:hAnsi="Aptos"/>
                <w:sz w:val="16"/>
              </w:rPr>
              <w:t>AI management system readiness</w:t>
            </w:r>
          </w:p>
        </w:tc>
      </w:tr>
      <w:tr>
        <w:trPr>
          <w:cantSplit/>
        </w:trPr>
        <w:tc>
          <w:tcPr>
            <w:tcW w:type="dxa" w:w="2016"/>
            <w:tcMar>
              <w:top w:w="90" w:type="dxa"/>
              <w:start w:w="100" w:type="dxa"/>
              <w:bottom w:w="90" w:type="dxa"/>
              <w:end w:w="100" w:type="dxa"/>
            </w:tcMar>
            <w:vAlign w:val="top"/>
          </w:tcPr>
          <w:p>
            <w:pPr>
              <w:spacing w:after="30"/>
            </w:pPr>
            <w:r>
              <w:rPr>
                <w:rFonts w:ascii="Aptos" w:hAnsi="Aptos"/>
                <w:sz w:val="16"/>
              </w:rPr>
              <w:t>Breadcrumb</w:t>
            </w:r>
          </w:p>
        </w:tc>
        <w:tc>
          <w:tcPr>
            <w:tcW w:type="dxa" w:w="8496"/>
            <w:tcMar>
              <w:top w:w="90" w:type="dxa"/>
              <w:start w:w="100" w:type="dxa"/>
              <w:bottom w:w="90" w:type="dxa"/>
              <w:end w:w="100" w:type="dxa"/>
            </w:tcMar>
            <w:vAlign w:val="top"/>
          </w:tcPr>
          <w:p>
            <w:pPr>
              <w:spacing w:after="30"/>
            </w:pPr>
            <w:r>
              <w:rPr>
                <w:rFonts w:ascii="Aptos" w:hAnsi="Aptos"/>
                <w:sz w:val="16"/>
              </w:rPr>
              <w:t>Home &gt; Services &gt; AI Governance &amp; Responsible AI &gt; ISO 42001 Readiness</w:t>
            </w:r>
          </w:p>
        </w:tc>
      </w:tr>
      <w:tr>
        <w:trPr>
          <w:cantSplit/>
        </w:trPr>
        <w:tc>
          <w:tcPr>
            <w:tcW w:type="dxa" w:w="2016"/>
            <w:tcMar>
              <w:top w:w="90" w:type="dxa"/>
              <w:start w:w="100" w:type="dxa"/>
              <w:bottom w:w="90" w:type="dxa"/>
              <w:end w:w="100" w:type="dxa"/>
            </w:tcMar>
            <w:vAlign w:val="top"/>
          </w:tcPr>
          <w:p>
            <w:pPr>
              <w:spacing w:after="30"/>
            </w:pPr>
            <w:r>
              <w:rPr>
                <w:rFonts w:ascii="Aptos" w:hAnsi="Aptos"/>
                <w:sz w:val="16"/>
              </w:rPr>
              <w:t>Primary CTA</w:t>
            </w:r>
          </w:p>
        </w:tc>
        <w:tc>
          <w:tcPr>
            <w:tcW w:type="dxa" w:w="8496"/>
            <w:tcMar>
              <w:top w:w="90" w:type="dxa"/>
              <w:start w:w="100" w:type="dxa"/>
              <w:bottom w:w="90" w:type="dxa"/>
              <w:end w:w="100" w:type="dxa"/>
            </w:tcMar>
            <w:vAlign w:val="top"/>
          </w:tcPr>
          <w:p>
            <w:pPr>
              <w:spacing w:after="30"/>
            </w:pPr>
            <w:r>
              <w:rPr>
                <w:rFonts w:ascii="Aptos" w:hAnsi="Aptos"/>
                <w:sz w:val="16"/>
              </w:rPr>
              <w:t>Book a 30-Minute Consultation</w:t>
            </w:r>
          </w:p>
        </w:tc>
      </w:tr>
    </w:tbl>
    <w:p>
      <w:pPr>
        <w:pStyle w:val="Heading1"/>
      </w:pPr>
      <w:r>
        <w:t>Public Page Transcript</w:t>
      </w:r>
    </w:p>
    <w:p>
      <w:pPr>
        <w:pStyle w:val="Heading2"/>
      </w:pPr>
      <w:r>
        <w:t>Hero</w:t>
      </w:r>
    </w:p>
    <w:p>
      <w:pPr>
        <w:pStyle w:val="Heading1"/>
      </w:pPr>
      <w:r>
        <w:t>Prepare for ISO 42001 certification of your AI management system.</w:t>
      </w:r>
    </w:p>
    <w:p>
      <w:r>
        <w:t>ISO 42001 asks how your organization governs AI, not just what your models can do. Cyvelle’s ISO 42001 readiness service helps you design and implement an AI management system that can be certified.</w:t>
      </w:r>
    </w:p>
    <w:p>
      <w:r>
        <w:t>Primary CTA: Book a 30-Minute Consultation</w:t>
        <w:br/>
        <w:t>Secondary CTA: See what the engagement includes.</w:t>
      </w:r>
    </w:p>
    <w:p>
      <w:pPr>
        <w:pStyle w:val="Heading2"/>
      </w:pPr>
      <w:r>
        <w:t>Who This Is For</w:t>
      </w:r>
    </w:p>
    <w:p>
      <w:pPr>
        <w:pStyle w:val="ListBullet"/>
        <w:ind w:left="288" w:hanging="173"/>
      </w:pPr>
      <w:r>
        <w:t>Organizations building or formalizing an AI management system.</w:t>
      </w:r>
    </w:p>
    <w:p>
      <w:pPr>
        <w:pStyle w:val="Heading2"/>
      </w:pPr>
      <w:r>
        <w:t>What Brings Clients Here</w:t>
      </w:r>
    </w:p>
    <w:p>
      <w:pPr>
        <w:pStyle w:val="ListBullet"/>
        <w:ind w:left="288" w:hanging="173"/>
      </w:pPr>
      <w:r>
        <w:t>Customers or regulators are asking for AI governance evidence.</w:t>
      </w:r>
    </w:p>
    <w:p>
      <w:pPr>
        <w:pStyle w:val="Heading2"/>
      </w:pPr>
      <w:r>
        <w:t>What This Service Solves</w:t>
      </w:r>
    </w:p>
    <w:p>
      <w:r>
        <w:t>ISO 42001 readiness solves the “we don’t have a formal AI management system” problem. Cyvelle helps you:</w:t>
      </w:r>
    </w:p>
    <w:p>
      <w:r>
        <w:t>Define AI scope and governance model.</w:t>
      </w:r>
    </w:p>
    <w:p>
      <w:r>
        <w:t>Design lifecycle controls and processes.</w:t>
      </w:r>
    </w:p>
    <w:p>
      <w:pPr>
        <w:pStyle w:val="Heading2"/>
      </w:pPr>
      <w:r>
        <w:t>What Cyvelle Does</w:t>
      </w:r>
    </w:p>
    <w:p>
      <w:pPr>
        <w:pStyle w:val="ListBullet"/>
        <w:ind w:left="288" w:hanging="173"/>
      </w:pPr>
      <w:r>
        <w:t>Cyvelle:</w:t>
      </w:r>
    </w:p>
    <w:p>
      <w:pPr>
        <w:pStyle w:val="ListBullet"/>
        <w:ind w:left="288" w:hanging="173"/>
      </w:pPr>
      <w:r>
        <w:t>Defines AIMS scope and governance structure.</w:t>
      </w:r>
    </w:p>
    <w:p>
      <w:pPr>
        <w:pStyle w:val="ListBullet"/>
        <w:ind w:left="288" w:hanging="173"/>
      </w:pPr>
      <w:r>
        <w:t>Designs AI risk/impact assessment processes.</w:t>
      </w:r>
    </w:p>
    <w:p>
      <w:pPr>
        <w:pStyle w:val="ListBullet"/>
        <w:ind w:left="288" w:hanging="173"/>
      </w:pPr>
      <w:r>
        <w:t>Creates lifecycle controls for AI systems.</w:t>
      </w:r>
    </w:p>
    <w:p>
      <w:pPr>
        <w:pStyle w:val="ListBullet"/>
        <w:ind w:left="288" w:hanging="173"/>
      </w:pPr>
      <w:r>
        <w:t>Prepares documentation and evidence.</w:t>
      </w:r>
    </w:p>
    <w:p>
      <w:pPr>
        <w:pStyle w:val="Heading2"/>
      </w:pPr>
      <w:r>
        <w:t>What You Get</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tcMar>
              <w:top w:w="90" w:type="dxa"/>
              <w:start w:w="100" w:type="dxa"/>
              <w:bottom w:w="90" w:type="dxa"/>
              <w:end w:w="100" w:type="dxa"/>
            </w:tcMar>
            <w:vAlign w:val="top"/>
            <w:shd w:fill="D9EAF7"/>
          </w:tcPr>
          <w:p>
            <w:pPr>
              <w:spacing w:after="30"/>
            </w:pPr>
            <w:r>
              <w:rPr>
                <w:rFonts w:ascii="Aptos" w:hAnsi="Aptos"/>
                <w:b/>
                <w:sz w:val="15"/>
              </w:rPr>
              <w:t>Deliverable</w:t>
            </w:r>
          </w:p>
        </w:tc>
        <w:tc>
          <w:tcPr>
            <w:tcW w:type="dxa" w:w="5083"/>
            <w:tcMar>
              <w:top w:w="90" w:type="dxa"/>
              <w:start w:w="100" w:type="dxa"/>
              <w:bottom w:w="90" w:type="dxa"/>
              <w:end w:w="100" w:type="dxa"/>
            </w:tcMar>
            <w:vAlign w:val="top"/>
            <w:shd w:fill="D9EAF7"/>
          </w:tcPr>
          <w:p>
            <w:pPr>
              <w:spacing w:after="30"/>
            </w:pPr>
            <w:r>
              <w:rPr>
                <w:rFonts w:ascii="Aptos" w:hAnsi="Aptos"/>
                <w:b/>
                <w:sz w:val="15"/>
              </w:rPr>
              <w:t>What it gives you</w:t>
            </w:r>
          </w:p>
        </w:tc>
      </w:tr>
      <w:tr>
        <w:trPr>
          <w:cantSplit/>
        </w:trPr>
        <w:tc>
          <w:tcPr>
            <w:tcW w:type="dxa" w:w="5083"/>
            <w:tcMar>
              <w:top w:w="90" w:type="dxa"/>
              <w:start w:w="100" w:type="dxa"/>
              <w:bottom w:w="90" w:type="dxa"/>
              <w:end w:w="100" w:type="dxa"/>
            </w:tcMar>
            <w:vAlign w:val="top"/>
          </w:tcPr>
          <w:p>
            <w:pPr>
              <w:spacing w:after="30"/>
            </w:pPr>
            <w:r>
              <w:rPr>
                <w:rFonts w:ascii="Aptos" w:hAnsi="Aptos"/>
                <w:sz w:val="15"/>
              </w:rPr>
              <w:t>AIMS scope &amp; governance model</w:t>
            </w:r>
          </w:p>
        </w:tc>
        <w:tc>
          <w:tcPr>
            <w:tcW w:type="dxa" w:w="5083"/>
            <w:tcMar>
              <w:top w:w="90" w:type="dxa"/>
              <w:start w:w="100" w:type="dxa"/>
              <w:bottom w:w="90" w:type="dxa"/>
              <w:end w:w="100" w:type="dxa"/>
            </w:tcMar>
            <w:vAlign w:val="top"/>
          </w:tcPr>
          <w:p>
            <w:pPr>
              <w:spacing w:after="30"/>
            </w:pPr>
            <w:r>
              <w:rPr>
                <w:rFonts w:ascii="Aptos" w:hAnsi="Aptos"/>
                <w:sz w:val="15"/>
              </w:rPr>
              <w:t>A defined AI management system scope and governance structure.</w:t>
            </w:r>
          </w:p>
        </w:tc>
      </w:tr>
      <w:tr>
        <w:trPr>
          <w:cantSplit/>
        </w:trPr>
        <w:tc>
          <w:tcPr>
            <w:tcW w:type="dxa" w:w="5083"/>
            <w:tcMar>
              <w:top w:w="90" w:type="dxa"/>
              <w:start w:w="100" w:type="dxa"/>
              <w:bottom w:w="90" w:type="dxa"/>
              <w:end w:w="100" w:type="dxa"/>
            </w:tcMar>
            <w:vAlign w:val="top"/>
          </w:tcPr>
          <w:p>
            <w:pPr>
              <w:spacing w:after="30"/>
            </w:pPr>
            <w:r>
              <w:rPr>
                <w:rFonts w:ascii="Aptos" w:hAnsi="Aptos"/>
                <w:sz w:val="15"/>
              </w:rPr>
              <w:t>Risk/impact assessment process</w:t>
            </w:r>
          </w:p>
        </w:tc>
        <w:tc>
          <w:tcPr>
            <w:tcW w:type="dxa" w:w="5083"/>
            <w:tcMar>
              <w:top w:w="90" w:type="dxa"/>
              <w:start w:w="100" w:type="dxa"/>
              <w:bottom w:w="90" w:type="dxa"/>
              <w:end w:w="100" w:type="dxa"/>
            </w:tcMar>
            <w:vAlign w:val="top"/>
          </w:tcPr>
          <w:p>
            <w:pPr>
              <w:spacing w:after="30"/>
            </w:pPr>
            <w:r>
              <w:rPr>
                <w:rFonts w:ascii="Aptos" w:hAnsi="Aptos"/>
                <w:sz w:val="15"/>
              </w:rPr>
              <w:t>A way to evaluate AI risks and impacts consistently.</w:t>
            </w:r>
          </w:p>
        </w:tc>
      </w:tr>
      <w:tr>
        <w:trPr>
          <w:cantSplit/>
        </w:trPr>
        <w:tc>
          <w:tcPr>
            <w:tcW w:type="dxa" w:w="5083"/>
            <w:tcMar>
              <w:top w:w="90" w:type="dxa"/>
              <w:start w:w="100" w:type="dxa"/>
              <w:bottom w:w="90" w:type="dxa"/>
              <w:end w:w="100" w:type="dxa"/>
            </w:tcMar>
            <w:vAlign w:val="top"/>
          </w:tcPr>
          <w:p>
            <w:pPr>
              <w:spacing w:after="30"/>
            </w:pPr>
            <w:r>
              <w:rPr>
                <w:rFonts w:ascii="Aptos" w:hAnsi="Aptos"/>
                <w:sz w:val="15"/>
              </w:rPr>
              <w:t>Lifecycle controls and documentation</w:t>
            </w:r>
          </w:p>
        </w:tc>
        <w:tc>
          <w:tcPr>
            <w:tcW w:type="dxa" w:w="5083"/>
            <w:tcMar>
              <w:top w:w="90" w:type="dxa"/>
              <w:start w:w="100" w:type="dxa"/>
              <w:bottom w:w="90" w:type="dxa"/>
              <w:end w:w="100" w:type="dxa"/>
            </w:tcMar>
            <w:vAlign w:val="top"/>
          </w:tcPr>
          <w:p>
            <w:pPr>
              <w:spacing w:after="30"/>
            </w:pPr>
            <w:r>
              <w:rPr>
                <w:rFonts w:ascii="Aptos" w:hAnsi="Aptos"/>
                <w:sz w:val="15"/>
              </w:rPr>
              <w:t>Controls and documents covering AI design, deployment, monitoring, and retirement.</w:t>
            </w:r>
          </w:p>
        </w:tc>
      </w:tr>
      <w:tr>
        <w:trPr>
          <w:cantSplit/>
        </w:trPr>
        <w:tc>
          <w:tcPr>
            <w:tcW w:type="dxa" w:w="5083"/>
            <w:tcMar>
              <w:top w:w="90" w:type="dxa"/>
              <w:start w:w="100" w:type="dxa"/>
              <w:bottom w:w="90" w:type="dxa"/>
              <w:end w:w="100" w:type="dxa"/>
            </w:tcMar>
            <w:vAlign w:val="top"/>
          </w:tcPr>
          <w:p>
            <w:pPr>
              <w:spacing w:after="30"/>
            </w:pPr>
            <w:r>
              <w:rPr>
                <w:rFonts w:ascii="Aptos" w:hAnsi="Aptos"/>
                <w:sz w:val="15"/>
              </w:rPr>
              <w:t>Certification handoff package</w:t>
            </w:r>
          </w:p>
        </w:tc>
        <w:tc>
          <w:tcPr>
            <w:tcW w:type="dxa" w:w="5083"/>
            <w:tcMar>
              <w:top w:w="90" w:type="dxa"/>
              <w:start w:w="100" w:type="dxa"/>
              <w:bottom w:w="90" w:type="dxa"/>
              <w:end w:w="100" w:type="dxa"/>
            </w:tcMar>
            <w:vAlign w:val="top"/>
          </w:tcPr>
          <w:p>
            <w:pPr>
              <w:spacing w:after="30"/>
            </w:pPr>
            <w:r>
              <w:rPr>
                <w:rFonts w:ascii="Aptos" w:hAnsi="Aptos"/>
                <w:sz w:val="15"/>
              </w:rPr>
              <w:t>Documentation and evidence overview for certification bodies.</w:t>
            </w:r>
          </w:p>
        </w:tc>
      </w:tr>
    </w:tbl>
    <w:p>
      <w:pPr>
        <w:pStyle w:val="Heading2"/>
      </w:pPr>
      <w:r>
        <w:t>How the Engagement Works</w:t>
      </w:r>
    </w:p>
    <w:p>
      <w:r>
        <w:t>Fixed-fee engagement scoped to your AI footprint.</w:t>
      </w:r>
    </w:p>
    <w:p>
      <w:pPr>
        <w:pStyle w:val="Heading2"/>
        <w:keepNext/>
        <w:pageBreakBefore/>
      </w:pPr>
      <w:r>
        <w:t>Pricing</w:t>
      </w:r>
    </w:p>
    <w:tbl>
      <w:tblPr>
        <w:tblStyle w:val="TableGrid"/>
        <w:tblW w:type="auto" w:w="0"/>
        <w:jc w:val="center"/>
        <w:tblLook w:firstColumn="1" w:firstRow="1" w:lastColumn="0" w:lastRow="0" w:noHBand="0" w:noVBand="1" w:val="04A0"/>
      </w:tblPr>
      <w:tblGrid>
        <w:gridCol w:w="2541"/>
        <w:gridCol w:w="2541"/>
        <w:gridCol w:w="2541"/>
        <w:gridCol w:w="2541"/>
      </w:tblGrid>
      <w:tr>
        <w:trPr>
          <w:cantSplit/>
          <w:tblHeader w:val="true"/>
        </w:trPr>
        <w:tc>
          <w:tcPr>
            <w:tcW w:type="dxa" w:w="1800"/>
            <w:tcMar>
              <w:top w:w="90" w:type="dxa"/>
              <w:start w:w="100" w:type="dxa"/>
              <w:bottom w:w="90" w:type="dxa"/>
              <w:end w:w="100" w:type="dxa"/>
            </w:tcMar>
            <w:vAlign w:val="top"/>
            <w:shd w:fill="D9EAF7"/>
          </w:tcPr>
          <w:p>
            <w:pPr>
              <w:spacing w:after="30"/>
            </w:pPr>
            <w:r>
              <w:rPr>
                <w:rFonts w:ascii="Aptos" w:hAnsi="Aptos"/>
                <w:b/>
                <w:sz w:val="15"/>
              </w:rPr>
              <w:t>Engagement level</w:t>
            </w:r>
          </w:p>
        </w:tc>
        <w:tc>
          <w:tcPr>
            <w:tcW w:type="dxa" w:w="1656"/>
            <w:tcMar>
              <w:top w:w="90" w:type="dxa"/>
              <w:start w:w="100" w:type="dxa"/>
              <w:bottom w:w="90" w:type="dxa"/>
              <w:end w:w="100" w:type="dxa"/>
            </w:tcMar>
            <w:vAlign w:val="top"/>
            <w:shd w:fill="D9EAF7"/>
          </w:tcPr>
          <w:p>
            <w:pPr>
              <w:spacing w:after="30"/>
            </w:pPr>
            <w:r>
              <w:rPr>
                <w:rFonts w:ascii="Aptos" w:hAnsi="Aptos"/>
                <w:b/>
                <w:sz w:val="15"/>
              </w:rPr>
              <w:t>Public price</w:t>
            </w:r>
          </w:p>
        </w:tc>
        <w:tc>
          <w:tcPr>
            <w:tcW w:type="dxa" w:w="3168"/>
            <w:tcMar>
              <w:top w:w="90" w:type="dxa"/>
              <w:start w:w="100" w:type="dxa"/>
              <w:bottom w:w="90" w:type="dxa"/>
              <w:end w:w="100" w:type="dxa"/>
            </w:tcMar>
            <w:vAlign w:val="top"/>
            <w:shd w:fill="D9EAF7"/>
          </w:tcPr>
          <w:p>
            <w:pPr>
              <w:spacing w:after="30"/>
            </w:pPr>
            <w:r>
              <w:rPr>
                <w:rFonts w:ascii="Aptos" w:hAnsi="Aptos"/>
                <w:b/>
                <w:sz w:val="15"/>
              </w:rPr>
              <w:t>Best fit</w:t>
            </w:r>
          </w:p>
        </w:tc>
        <w:tc>
          <w:tcPr>
            <w:tcW w:type="dxa" w:w="4248"/>
            <w:tcMar>
              <w:top w:w="90" w:type="dxa"/>
              <w:start w:w="100" w:type="dxa"/>
              <w:bottom w:w="90" w:type="dxa"/>
              <w:end w:w="100" w:type="dxa"/>
            </w:tcMar>
            <w:vAlign w:val="top"/>
            <w:shd w:fill="D9EAF7"/>
          </w:tcPr>
          <w:p>
            <w:pPr>
              <w:spacing w:after="30"/>
            </w:pPr>
            <w:r>
              <w:rPr>
                <w:rFonts w:ascii="Aptos" w:hAnsi="Aptos"/>
                <w:b/>
                <w:sz w:val="15"/>
              </w:rPr>
              <w:t>Scope distinction</w:t>
            </w:r>
          </w:p>
        </w:tc>
      </w:tr>
      <w:tr>
        <w:trPr>
          <w:cantSplit/>
        </w:trPr>
        <w:tc>
          <w:tcPr>
            <w:tcW w:type="dxa" w:w="1800"/>
            <w:tcMar>
              <w:top w:w="90" w:type="dxa"/>
              <w:start w:w="100" w:type="dxa"/>
              <w:bottom w:w="90" w:type="dxa"/>
              <w:end w:w="100" w:type="dxa"/>
            </w:tcMar>
            <w:vAlign w:val="top"/>
          </w:tcPr>
          <w:p>
            <w:pPr>
              <w:spacing w:after="30"/>
            </w:pPr>
            <w:r>
              <w:rPr>
                <w:rFonts w:ascii="Aptos" w:hAnsi="Aptos"/>
                <w:sz w:val="15"/>
              </w:rPr>
              <w:t>Gap + AIMS Design Assessment</w:t>
            </w:r>
          </w:p>
        </w:tc>
        <w:tc>
          <w:tcPr>
            <w:tcW w:type="dxa" w:w="1656"/>
            <w:tcMar>
              <w:top w:w="90" w:type="dxa"/>
              <w:start w:w="100" w:type="dxa"/>
              <w:bottom w:w="90" w:type="dxa"/>
              <w:end w:w="100" w:type="dxa"/>
            </w:tcMar>
            <w:vAlign w:val="top"/>
          </w:tcPr>
          <w:p>
            <w:pPr>
              <w:spacing w:after="30"/>
            </w:pPr>
            <w:r>
              <w:rPr>
                <w:rFonts w:ascii="Aptos" w:hAnsi="Aptos"/>
                <w:sz w:val="15"/>
              </w:rPr>
              <w:t>From $15,000</w:t>
            </w:r>
          </w:p>
        </w:tc>
        <w:tc>
          <w:tcPr>
            <w:tcW w:type="dxa" w:w="3168"/>
            <w:tcMar>
              <w:top w:w="90" w:type="dxa"/>
              <w:start w:w="100" w:type="dxa"/>
              <w:bottom w:w="90" w:type="dxa"/>
              <w:end w:w="100" w:type="dxa"/>
            </w:tcMar>
            <w:vAlign w:val="top"/>
          </w:tcPr>
          <w:p>
            <w:pPr>
              <w:spacing w:after="30"/>
            </w:pPr>
            <w:r>
              <w:rPr>
                <w:rFonts w:ascii="Aptos" w:hAnsi="Aptos"/>
                <w:sz w:val="15"/>
              </w:rPr>
              <w:t>Organizations that need AIMS scope, AI inventory, risk/impact baseline, and a certification roadmap.</w:t>
            </w:r>
          </w:p>
        </w:tc>
        <w:tc>
          <w:tcPr>
            <w:tcW w:type="dxa" w:w="4248"/>
            <w:tcMar>
              <w:top w:w="90" w:type="dxa"/>
              <w:start w:w="100" w:type="dxa"/>
              <w:bottom w:w="90" w:type="dxa"/>
              <w:end w:w="100" w:type="dxa"/>
            </w:tcMar>
            <w:vAlign w:val="top"/>
          </w:tcPr>
          <w:p>
            <w:pPr>
              <w:spacing w:after="30"/>
            </w:pPr>
            <w:r>
              <w:rPr>
                <w:rFonts w:ascii="Aptos" w:hAnsi="Aptos"/>
                <w:sz w:val="15"/>
              </w:rPr>
              <w:t>AIMS scope and context, AI inventory, governance model, gap assessment, risk/impact method review, control-reuse analysis, and readiness roadmap.</w:t>
            </w:r>
          </w:p>
        </w:tc>
      </w:tr>
      <w:tr>
        <w:trPr>
          <w:cantSplit/>
        </w:trPr>
        <w:tc>
          <w:tcPr>
            <w:tcW w:type="dxa" w:w="1800"/>
            <w:tcMar>
              <w:top w:w="90" w:type="dxa"/>
              <w:start w:w="100" w:type="dxa"/>
              <w:bottom w:w="90" w:type="dxa"/>
              <w:end w:w="100" w:type="dxa"/>
            </w:tcMar>
            <w:vAlign w:val="top"/>
          </w:tcPr>
          <w:p>
            <w:pPr>
              <w:spacing w:after="30"/>
            </w:pPr>
            <w:r>
              <w:rPr>
                <w:rFonts w:ascii="Aptos" w:hAnsi="Aptos"/>
                <w:sz w:val="15"/>
              </w:rPr>
              <w:t>ISO 42001 Overlay</w:t>
            </w:r>
          </w:p>
        </w:tc>
        <w:tc>
          <w:tcPr>
            <w:tcW w:type="dxa" w:w="1656"/>
            <w:tcMar>
              <w:top w:w="90" w:type="dxa"/>
              <w:start w:w="100" w:type="dxa"/>
              <w:bottom w:w="90" w:type="dxa"/>
              <w:end w:w="100" w:type="dxa"/>
            </w:tcMar>
            <w:vAlign w:val="top"/>
          </w:tcPr>
          <w:p>
            <w:pPr>
              <w:spacing w:after="30"/>
            </w:pPr>
            <w:r>
              <w:rPr>
                <w:rFonts w:ascii="Aptos" w:hAnsi="Aptos"/>
                <w:sz w:val="15"/>
              </w:rPr>
              <w:t>$30,000 fixed</w:t>
            </w:r>
          </w:p>
        </w:tc>
        <w:tc>
          <w:tcPr>
            <w:tcW w:type="dxa" w:w="3168"/>
            <w:tcMar>
              <w:top w:w="90" w:type="dxa"/>
              <w:start w:w="100" w:type="dxa"/>
              <w:bottom w:w="90" w:type="dxa"/>
              <w:end w:w="100" w:type="dxa"/>
            </w:tcMar>
            <w:vAlign w:val="top"/>
          </w:tcPr>
          <w:p>
            <w:pPr>
              <w:spacing w:after="30"/>
            </w:pPr>
            <w:r>
              <w:rPr>
                <w:rFonts w:ascii="Aptos" w:hAnsi="Aptos"/>
                <w:sz w:val="15"/>
              </w:rPr>
              <w:t>Organizations extending an existing SOC 2 or ISO 27001 governance foundation into AI management.</w:t>
            </w:r>
          </w:p>
        </w:tc>
        <w:tc>
          <w:tcPr>
            <w:tcW w:type="dxa" w:w="4248"/>
            <w:tcMar>
              <w:top w:w="90" w:type="dxa"/>
              <w:start w:w="100" w:type="dxa"/>
              <w:bottom w:w="90" w:type="dxa"/>
              <w:end w:w="100" w:type="dxa"/>
            </w:tcMar>
            <w:vAlign w:val="top"/>
          </w:tcPr>
          <w:p>
            <w:pPr>
              <w:spacing w:after="30"/>
            </w:pPr>
            <w:r>
              <w:rPr>
                <w:rFonts w:ascii="Aptos" w:hAnsi="Aptos"/>
                <w:sz w:val="15"/>
              </w:rPr>
              <w:t>AIMS design, AI-specific risk and impact processes, lifecycle controls, documentation/evidence, reuse mapping, internal-assurance preparation, and certification-body handoff.</w:t>
            </w:r>
          </w:p>
        </w:tc>
      </w:tr>
      <w:tr>
        <w:trPr>
          <w:cantSplit/>
        </w:trPr>
        <w:tc>
          <w:tcPr>
            <w:tcW w:type="dxa" w:w="1800"/>
            <w:tcMar>
              <w:top w:w="90" w:type="dxa"/>
              <w:start w:w="100" w:type="dxa"/>
              <w:bottom w:w="90" w:type="dxa"/>
              <w:end w:w="100" w:type="dxa"/>
            </w:tcMar>
            <w:vAlign w:val="top"/>
          </w:tcPr>
          <w:p>
            <w:pPr>
              <w:spacing w:after="30"/>
            </w:pPr>
            <w:r>
              <w:rPr>
                <w:rFonts w:ascii="Aptos" w:hAnsi="Aptos"/>
                <w:sz w:val="15"/>
              </w:rPr>
              <w:t>Greenfield AIMS Readiness</w:t>
            </w:r>
          </w:p>
        </w:tc>
        <w:tc>
          <w:tcPr>
            <w:tcW w:type="dxa" w:w="1656"/>
            <w:tcMar>
              <w:top w:w="90" w:type="dxa"/>
              <w:start w:w="100" w:type="dxa"/>
              <w:bottom w:w="90" w:type="dxa"/>
              <w:end w:w="100" w:type="dxa"/>
            </w:tcMar>
            <w:vAlign w:val="top"/>
          </w:tcPr>
          <w:p>
            <w:pPr>
              <w:spacing w:after="30"/>
            </w:pPr>
            <w:r>
              <w:rPr>
                <w:rFonts w:ascii="Aptos" w:hAnsi="Aptos"/>
                <w:sz w:val="15"/>
              </w:rPr>
              <w:t>From $45,000</w:t>
            </w:r>
          </w:p>
        </w:tc>
        <w:tc>
          <w:tcPr>
            <w:tcW w:type="dxa" w:w="3168"/>
            <w:tcMar>
              <w:top w:w="90" w:type="dxa"/>
              <w:start w:w="100" w:type="dxa"/>
              <w:bottom w:w="90" w:type="dxa"/>
              <w:end w:w="100" w:type="dxa"/>
            </w:tcMar>
            <w:vAlign w:val="top"/>
          </w:tcPr>
          <w:p>
            <w:pPr>
              <w:spacing w:after="30"/>
            </w:pPr>
            <w:r>
              <w:rPr>
                <w:rFonts w:ascii="Aptos" w:hAnsi="Aptos"/>
                <w:sz w:val="15"/>
              </w:rPr>
              <w:t>Organizations building an AI management system without a mature reusable management-system foundation.</w:t>
            </w:r>
          </w:p>
        </w:tc>
        <w:tc>
          <w:tcPr>
            <w:tcW w:type="dxa" w:w="4248"/>
            <w:tcMar>
              <w:top w:w="90" w:type="dxa"/>
              <w:start w:w="100" w:type="dxa"/>
              <w:bottom w:w="90" w:type="dxa"/>
              <w:end w:w="100" w:type="dxa"/>
            </w:tcMar>
            <w:vAlign w:val="top"/>
          </w:tcPr>
          <w:p>
            <w:pPr>
              <w:spacing w:after="30"/>
            </w:pPr>
            <w:r>
              <w:rPr>
                <w:rFonts w:ascii="Aptos" w:hAnsi="Aptos"/>
                <w:sz w:val="15"/>
              </w:rPr>
              <w:t>End-to-end AIMS architecture and implementation support, AI inventory, governance, risk/impact, lifecycle controls, evidence, internal assurance, management review, and certification preparation.</w:t>
            </w:r>
          </w:p>
        </w:tc>
      </w:tr>
    </w:tbl>
    <w:p>
      <w:pPr>
        <w:pStyle w:val="DeveloperNote"/>
      </w:pPr>
      <w:r>
        <w:t>Website treatment: three cards on desktop, stacked cards on mobile. Each card links to Book a 30-Minute Consultation. Final scope is confirmed in the Statement of Work.</w:t>
      </w:r>
    </w:p>
    <w:p>
      <w:pPr>
        <w:pStyle w:val="DeveloperNote"/>
      </w:pPr>
      <w:r>
        <w:t>External audit or certification fees, legal advice, penetration testing, software, technical remediation, travel, production changes, and other third-party costs are separate where applicable.</w:t>
      </w:r>
    </w:p>
    <w:p>
      <w:pPr>
        <w:pStyle w:val="Heading2"/>
      </w:pPr>
      <w:r>
        <w:t>What Changes</w:t>
      </w:r>
    </w:p>
    <w:p>
      <w:pPr>
        <w:pStyle w:val="ListBullet"/>
        <w:ind w:left="288" w:hanging="173"/>
      </w:pPr>
      <w:r>
        <w:t>After ISO 42001 readiness:</w:t>
      </w:r>
    </w:p>
    <w:p>
      <w:pPr>
        <w:pStyle w:val="ListBullet"/>
        <w:ind w:left="288" w:hanging="173"/>
      </w:pPr>
      <w:r>
        <w:t>You have an AI management system designed for certification and operation.</w:t>
      </w:r>
    </w:p>
    <w:p>
      <w:pPr>
        <w:pStyle w:val="Heading2"/>
      </w:pPr>
      <w:r>
        <w:t>Important Scope Information</w:t>
      </w:r>
    </w:p>
    <w:p>
      <w:pPr>
        <w:pStyle w:val="ListBullet"/>
        <w:ind w:left="288" w:hanging="173"/>
      </w:pPr>
      <w:r>
        <w:t>Cyvelle prepares your AIMS; certification audits are carried out by accredited bodies.</w:t>
      </w:r>
    </w:p>
    <w:p>
      <w:pPr>
        <w:pStyle w:val="Heading2"/>
      </w:pPr>
      <w:r>
        <w:t>Why Cyvelle</w:t>
      </w:r>
    </w:p>
    <w:p>
      <w:pPr>
        <w:pStyle w:val="ListBullet"/>
        <w:ind w:left="288" w:hanging="173"/>
      </w:pPr>
      <w:r>
        <w:t>Temi’s blend of security, compliance, and AI governance experience supports integrated design.</w:t>
      </w:r>
    </w:p>
    <w:p>
      <w:pPr>
        <w:pStyle w:val="Heading2"/>
      </w:pPr>
      <w:r>
        <w:t>Delivered by Temi (Founder Module)</w:t>
      </w:r>
    </w:p>
    <w:p>
      <w:r>
        <w:t>Led by Temi Oyawoye, founder of Cyvelle Consulting.</w:t>
      </w:r>
    </w:p>
    <w:p>
      <w:r>
        <w:t>Temi has spent more than two decades building compliance programs and leading audits across financial services, media and entertainment, healthcare, and technology  -  the kind of range that comes from being audited as much as from auditing. Every Cyvelle engagement is led personally by Temi, from the first conversation through final delivery.</w:t>
      </w:r>
    </w:p>
    <w:p>
      <w:r>
        <w:t>CISA | CISM | CRISC | CDPSE | PCI-QSA | MSIS</w:t>
        <w:br/>
        <w:t>About Temi to · Connect on LinkedIn to</w:t>
      </w:r>
    </w:p>
    <w:p>
      <w:pPr>
        <w:pStyle w:val="Heading2"/>
      </w:pPr>
      <w:r>
        <w:t>FAQ</w:t>
      </w:r>
    </w:p>
    <w:p>
      <w:r>
        <w:t>Do we need ISO 27001 before ISO 42001?</w:t>
        <w:br/>
        <w:t>Not strictly, but many organizations find value in having a broader security ISMS alongside the AI management system. Cyvelle can help you decide.</w:t>
      </w:r>
    </w:p>
    <w:p>
      <w:pPr>
        <w:pStyle w:val="Heading2"/>
      </w:pPr>
      <w:r>
        <w:t>Related Intelligence</w:t>
      </w:r>
    </w:p>
    <w:p>
      <w:pPr>
        <w:pStyle w:val="ListBullet"/>
        <w:ind w:left="288" w:hanging="173"/>
      </w:pPr>
      <w:r>
        <w:t>“What ISO 42001 changes in AI governance practice.”</w:t>
      </w:r>
    </w:p>
    <w:p>
      <w:pPr>
        <w:pStyle w:val="Heading2"/>
      </w:pPr>
      <w:r>
        <w:t>Related Services</w:t>
      </w:r>
    </w:p>
    <w:p>
      <w:pPr>
        <w:pStyle w:val="ListBullet"/>
        <w:ind w:left="288" w:hanging="173"/>
      </w:pPr>
      <w:r>
        <w:t>Governance Blueprint</w:t>
      </w:r>
    </w:p>
    <w:p>
      <w:pPr>
        <w:pStyle w:val="ListBullet"/>
        <w:ind w:left="288" w:hanging="173"/>
      </w:pPr>
      <w:r>
        <w:t>NIST AI RMF Alignment</w:t>
      </w:r>
    </w:p>
    <w:p>
      <w:pPr>
        <w:pStyle w:val="Heading2"/>
      </w:pPr>
      <w:r>
        <w:t>Internal Linking Instructions</w:t>
      </w:r>
    </w:p>
    <w:p>
      <w:pPr>
        <w:pStyle w:val="ListBullet"/>
        <w:ind w:left="288" w:hanging="173"/>
      </w:pPr>
      <w:r>
        <w:t>Link ISO 42001 page to AI Governance hub, Governance Blueprint, and NIST AI RMF page.</w:t>
      </w:r>
    </w:p>
    <w:p>
      <w:pPr>
        <w:pStyle w:val="Heading2"/>
      </w:pPr>
      <w:r>
        <w:t>Developer Notes</w:t>
      </w:r>
    </w:p>
    <w:p>
      <w:pPr>
        <w:pStyle w:val="ListBullet"/>
        <w:ind w:left="288" w:hanging="173"/>
      </w:pPr>
      <w:r>
        <w:t>Ensure AI-specific language is clear but not overly technical.</w:t>
      </w:r>
    </w:p>
    <w:p>
      <w:pPr>
        <w:pStyle w:val="Heading2"/>
      </w:pPr>
      <w:r>
        <w:t>Final Call to Action</w:t>
      </w:r>
    </w:p>
    <w:p>
      <w:r>
        <w:t>Ready to clarify the right path?</w:t>
      </w:r>
    </w:p>
    <w:p>
      <w:r>
        <w:t>Bring the business trigger, deadline, and current challenge. Cyvelle will confirm whether this is the right starting point and what the next decision should be.</w:t>
      </w:r>
    </w:p>
    <w:p>
      <w:r>
        <w:rPr>
          <w:b/>
          <w:color w:val="1F4E79"/>
        </w:rPr>
        <w:t>Book a 30-Minute Consultation</w:t>
      </w:r>
    </w:p>
    <w:p>
      <w:pPr>
        <w:pStyle w:val="DeveloperNote"/>
      </w:pPr>
      <w:r>
        <w:t>Recommended form fields: Name | Work email | Company | Service | Message</w:t>
      </w:r>
    </w:p>
    <w:p>
      <w:pPr>
        <w:pStyle w:val="Heading2"/>
      </w:pPr>
      <w:r>
        <w:t>Final Developer Rules</w:t>
      </w:r>
    </w:p>
    <w:p>
      <w:pPr>
        <w:pStyle w:val="ListBullet"/>
        <w:ind w:left="288" w:hanging="173"/>
      </w:pPr>
      <w:r>
        <w:t>Keep the sticky header CTA as Book a 30-Minute Consultation.</w:t>
      </w:r>
    </w:p>
    <w:p>
      <w:pPr>
        <w:pStyle w:val="ListBullet"/>
        <w:ind w:left="288" w:hanging="173"/>
      </w:pPr>
      <w:r>
        <w:t>Render What You Get as a high-contrast deliverables table or card grid.</w:t>
      </w:r>
    </w:p>
    <w:p>
      <w:pPr>
        <w:pStyle w:val="ListBullet"/>
        <w:ind w:left="288" w:hanging="173"/>
      </w:pPr>
      <w:r>
        <w:t>Render pricing as three cards on desktop and stacked cards on mobile. The Governance Blueprint uses one fixed-price block.</w:t>
      </w:r>
    </w:p>
    <w:p>
      <w:pPr>
        <w:pStyle w:val="ListBullet"/>
        <w:ind w:left="288" w:hanging="173"/>
      </w:pPr>
      <w:r>
        <w:t>Do not expose internal professional-hour guardrails, capacity ceilings, or internal delivery constraints from the Pricing, Scope &amp; Delivery Guide.</w:t>
      </w:r>
    </w:p>
    <w:p>
      <w:pPr>
        <w:pStyle w:val="ListBullet"/>
        <w:ind w:left="288" w:hanging="173"/>
      </w:pPr>
      <w:r>
        <w:t>Use one service-specific process only. Do not add a duplicate global process underneath it.</w:t>
      </w:r>
    </w:p>
    <w:p>
      <w:pPr>
        <w:pStyle w:val="ListBullet"/>
        <w:ind w:left="288" w:hanging="173"/>
      </w:pPr>
      <w:r>
        <w:t>Place Important Scope Information after process and pricing, and before Why Cyvelle, founder module, and FAQ.</w:t>
      </w:r>
    </w:p>
    <w:p>
      <w:pPr>
        <w:pStyle w:val="ListBullet"/>
        <w:ind w:left="288" w:hanging="173"/>
      </w:pPr>
      <w:r>
        <w:t>Use Temi Oyawoye on first mention and in headings. Use Temi naturally thereafter.</w:t>
      </w:r>
    </w:p>
    <w:p>
      <w:pPr>
        <w:pStyle w:val="ListBullet"/>
        <w:ind w:left="288" w:hanging="173"/>
      </w:pPr>
      <w:r>
        <w:t>Founder module links to About and LinkedIn.</w:t>
      </w:r>
    </w:p>
    <w:p>
      <w:pPr>
        <w:pStyle w:val="ListBullet"/>
        <w:ind w:left="288" w:hanging="173"/>
      </w:pPr>
      <w:r>
        <w:t>Hide Related Intelligence until at least two relevant items are live.</w:t>
      </w:r>
    </w:p>
    <w:p>
      <w:pPr>
        <w:pStyle w:val="ListBullet"/>
        <w:ind w:left="288" w:hanging="173"/>
      </w:pPr>
      <w:r>
        <w:t>Do not add guarantees, audit-pass claims, client-count claims, or unsupported quantified outcomes.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87878"/>
        <w:sz w:val="14"/>
      </w:rPr>
      <w:t>Developer implementation document  |  28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96969"/>
        <w:sz w:val="15"/>
      </w:rPr>
      <w:t>CYVELLE CONSULTING  |  DEVELOPER BUILD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2"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w:hAnsi="Aptos"/>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veloperNote">
    <w:name w:val="Developer Note"/>
    <w:pPr>
      <w:spacing w:after="80"/>
    </w:pPr>
    <w:rPr>
      <w:rFonts w:ascii="Aptos" w:hAnsi="Aptos"/>
      <w:i/>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