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 AI Act Readiness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3, current-regulatory copy corrected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EU AI Act Readiness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/services/ai-governance/eu-ai-act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EU AI Act Readiness Consulting | Map Exposure, Obligations &amp; Evidence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EU AI Act readiness consulting for organizations with AI systems in or affecting the EU. Scope, risk classification, obligations, and roadmap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EU AI Act readiness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EU AI Act compliance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AI Governance &amp; Responsible AI &gt; EU AI Act Readiness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Understand your EU AI Act exposure and build the evidence your obligations require.</w:t>
      </w:r>
    </w:p>
    <w:p>
      <w:r>
        <w:t>EU AI Act obligations now apply in phases, including transparency requirements that began applying on 2 August 2026. Cyvelle’s EU AI Act readiness service helps you identify affected AI systems, map applicable obligations, and build an implementation roadmap, with legal interpretation confirmed by qualified counsel.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Organizations building, deploying, or using AI systems in or affecting the EU market.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Legal and product teams have questions about EU AI Act exposure.</w:t>
      </w:r>
    </w:p>
    <w:p>
      <w:pPr>
        <w:pStyle w:val="Heading2"/>
      </w:pPr>
      <w:r>
        <w:t>What This Service Solves</w:t>
      </w:r>
    </w:p>
    <w:p>
      <w:r>
        <w:t>EU AI Act readiness solves the “we don’t know if our AI systems will be tagged as high-risk” problem. Cyvelle helps you:</w:t>
      </w:r>
    </w:p>
    <w:p>
      <w:r>
        <w:t>Inventory AI systems and uses relevant to the EU.</w:t>
      </w:r>
    </w:p>
    <w:p>
      <w:r>
        <w:t>Assess risk classification and obligations.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Cyvelle:</w:t>
      </w:r>
    </w:p>
    <w:p>
      <w:pPr>
        <w:pStyle w:val="ListBullet"/>
        <w:ind w:left="288" w:hanging="173"/>
      </w:pPr>
      <w:r>
        <w:t>Builds an inventory of AI systems and uses with EU exposure.</w:t>
      </w:r>
    </w:p>
    <w:p>
      <w:pPr>
        <w:pStyle w:val="ListBullet"/>
        <w:ind w:left="288" w:hanging="173"/>
      </w:pPr>
      <w:r>
        <w:t>Assesses them against EU AI Act criteria and risk levels.</w:t>
      </w:r>
    </w:p>
    <w:p>
      <w:pPr>
        <w:pStyle w:val="ListBullet"/>
        <w:ind w:left="288" w:hanging="173"/>
      </w:pPr>
      <w:r>
        <w:t>Identifies obligations and governance needs.</w:t>
      </w:r>
    </w:p>
    <w:p>
      <w:pPr>
        <w:pStyle w:val="ListBullet"/>
        <w:ind w:left="288" w:hanging="173"/>
      </w:pPr>
      <w:r>
        <w:t>Provides a readiness roadmap.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EU AI system inventory &amp; classification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documented view of which AI systems are in scope and how they’re classified.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Obligations map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summary of applicable obligations for each system.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Governance and remediation roadmap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plan to address gaps and build compliance.</w:t>
            </w:r>
          </w:p>
        </w:tc>
      </w:tr>
    </w:tbl>
    <w:p>
      <w:pPr>
        <w:pStyle w:val="Heading2"/>
      </w:pPr>
      <w:r>
        <w:t>How the Engagement Works</w:t>
      </w:r>
    </w:p>
    <w:p>
      <w:r>
        <w:t>Scoped consulting engagement centered on inventory and classification.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Focused Readiness Assessment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$9,500 fixed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smaller AI footprint that needs inventory, classification support, gap analysis, and a prioritized roadmap.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Defined AI-system inventory, role/exposure analysis, preliminary classification, applicable-obligation map, governance gaps, evidence needs, and implementation roadmap. Legal conclusions remain with counsel.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Multi-System Readiness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$15,000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Several AI systems, multiple product teams, vendor dependencies, or more complex deployer/provider roles.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Expanded inventory and classification support, obligation mapping, governance and documentation design, evidence model, remediation sequencing, and leadership readout.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Complex / High-Risk Program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$30,000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Complex, cross-border, high-risk, GPAI-related, or multi-entity environments requiring deeper operating support.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Extended governance architecture, high-risk documentation support, cross-functional controls, vendor/downstream obligations, evidence program, remediation governance, and counsel coordination.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External audit or certification fees, legal advice, penetration testing, software, technical remediation,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EU AI Act readiness:</w:t>
      </w:r>
    </w:p>
    <w:p>
      <w:pPr>
        <w:pStyle w:val="ListBullet"/>
        <w:ind w:left="288" w:hanging="173"/>
      </w:pPr>
      <w:r>
        <w:t>You have clarity on exposure and a plan to respond.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Cyvelle provides readiness and governance advice; regulatory decisions and legal opinions remain with counsel and regulators.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Temi’s AI governance experience and framework knowledge help contextualize the Act alongside other obligations.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Do all AI systems fall under the same obligations?</w:t>
        <w:br/>
        <w:t>No. Obligations differ by risk classification and use. Cyvelle helps parse this for your specific systems.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“How to inventory AI systems for EU AI Act readiness.”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ISO 42001 Readiness</w:t>
      </w:r>
    </w:p>
    <w:p>
      <w:pPr>
        <w:pStyle w:val="ListBullet"/>
        <w:ind w:left="288" w:hanging="173"/>
      </w:pPr>
      <w:r>
        <w:t>NIST AI RMF Alignment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EU AI Act page to AI Governance hub, ISO 42001, NIST AI RMF, and Governance Blueprint.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Keep legal/regulatory detail in Intelligence, not on this page.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