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NIST AI RMF Alignment</w:t>
      </w:r>
    </w:p>
    <w:p>
      <w:pPr>
        <w:spacing w:after="200"/>
      </w:pPr>
      <w:r>
        <w:rPr>
          <w:i/>
          <w:color w:val="505050"/>
        </w:rPr>
        <w:t>Developer-ready service page transcript | Source: Launch Priority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 w:val="true"/>
        </w:trPr>
        <w:tc>
          <w:tcPr>
            <w:tcW w:type="dxa" w:w="1016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65D"/>
              </w:rPr>
              <w:t>Build status</w:t>
            </w:r>
          </w:p>
          <w:p>
            <w:pPr>
              <w:spacing w:after="0"/>
            </w:pPr>
            <w:r>
              <w:t>This version supersedes earlier no-pricing instructions. Public pricing is approved. Use the pricing section below on this service page. The Governance Blueprint is the sole single-price exception.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Build field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Approved value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Page name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NIST AI RMF Alignment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URL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/services/ai-governance/nist-ai-rmf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SEO title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NIST AI RMF Consulting | Align Your AI Program to the NIST AI Risk Management Framework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Meta description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NIST AI RMF alignment consulting for organizations managing AI risk across the lifecycle. Map practices, close gaps, and improve governance  -  led personally by Temi.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Primary keyword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NIST AI RMF consulting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Secondary keywords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NIST AI risk management framework alignment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Breadcrumb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Home &gt; Services &gt; AI Governance &amp; Responsible AI &gt; NIST AI RMF Alignment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Primary CTA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Book a 30-Minute Consultation</w:t>
            </w:r>
          </w:p>
        </w:tc>
      </w:tr>
    </w:tbl>
    <w:p>
      <w:pPr>
        <w:pStyle w:val="Heading1"/>
      </w:pPr>
      <w:r>
        <w:t>Public Page Transcript</w:t>
      </w:r>
    </w:p>
    <w:p>
      <w:pPr>
        <w:pStyle w:val="Heading2"/>
      </w:pPr>
      <w:r>
        <w:t>Hero</w:t>
      </w:r>
    </w:p>
    <w:p>
      <w:pPr>
        <w:pStyle w:val="Heading1"/>
      </w:pPr>
      <w:r>
        <w:t>Align your AI program to the NIST AI Risk Management Framework.</w:t>
      </w:r>
    </w:p>
    <w:p>
      <w:r>
        <w:t>NIST’s AI RMF provides a voluntary structure for managing AI risk. Cyvelle’s NIST AI RMF alignment service helps you map current practices and close gaps.</w:t>
      </w:r>
    </w:p>
    <w:p>
      <w:r>
        <w:t>Primary CTA: Book a 30-Minute Consultation</w:t>
        <w:br/>
        <w:t>Secondary CTA: See what the engagement includes.</w:t>
      </w:r>
    </w:p>
    <w:p>
      <w:pPr>
        <w:pStyle w:val="Heading2"/>
      </w:pPr>
      <w:r>
        <w:t>Who This Is For</w:t>
      </w:r>
    </w:p>
    <w:p>
      <w:pPr>
        <w:pStyle w:val="ListBullet"/>
        <w:ind w:left="288" w:hanging="173"/>
      </w:pPr>
      <w:r>
        <w:t>Organizations choosing to use NIST AI RMF as their AI risk reference.</w:t>
      </w:r>
    </w:p>
    <w:p>
      <w:pPr>
        <w:pStyle w:val="Heading2"/>
      </w:pPr>
      <w:r>
        <w:t>What Brings Clients Here</w:t>
      </w:r>
    </w:p>
    <w:p>
      <w:pPr>
        <w:pStyle w:val="ListBullet"/>
        <w:ind w:left="288" w:hanging="173"/>
      </w:pPr>
      <w:r>
        <w:t>Leadership wants a structured AI risk approach tied to a recognized framework.</w:t>
      </w:r>
    </w:p>
    <w:p>
      <w:pPr>
        <w:pStyle w:val="Heading2"/>
      </w:pPr>
      <w:r>
        <w:t>What This Service Solves</w:t>
      </w:r>
    </w:p>
    <w:p>
      <w:r>
        <w:t>NIST AI RMF alignment solves the “we don’t know how our current AI practices map to the framework” problem. Cyvelle helps you:</w:t>
      </w:r>
    </w:p>
    <w:p>
      <w:r>
        <w:t>Inventory AI practices across the lifecycle.</w:t>
      </w:r>
    </w:p>
    <w:p>
      <w:r>
        <w:t>Map them to AI RMF functions and categories.</w:t>
      </w:r>
    </w:p>
    <w:p>
      <w:pPr>
        <w:pStyle w:val="Heading2"/>
      </w:pPr>
      <w:r>
        <w:t>What Cyvelle Does</w:t>
      </w:r>
    </w:p>
    <w:p>
      <w:pPr>
        <w:pStyle w:val="ListBullet"/>
        <w:ind w:left="288" w:hanging="173"/>
      </w:pPr>
      <w:r>
        <w:t>Cyvelle:</w:t>
      </w:r>
    </w:p>
    <w:p>
      <w:pPr>
        <w:pStyle w:val="ListBullet"/>
        <w:ind w:left="288" w:hanging="173"/>
      </w:pPr>
      <w:r>
        <w:t>Inventories AI-related processes and controls.</w:t>
      </w:r>
    </w:p>
    <w:p>
      <w:pPr>
        <w:pStyle w:val="ListBullet"/>
        <w:ind w:left="288" w:hanging="173"/>
      </w:pPr>
      <w:r>
        <w:t>Maps them to AI RMF structure.</w:t>
      </w:r>
    </w:p>
    <w:p>
      <w:pPr>
        <w:pStyle w:val="ListBullet"/>
        <w:ind w:left="288" w:hanging="173"/>
      </w:pPr>
      <w:r>
        <w:t>Identifies gaps and improvement opportunities.</w:t>
      </w:r>
    </w:p>
    <w:p>
      <w:pPr>
        <w:pStyle w:val="ListBullet"/>
        <w:ind w:left="288" w:hanging="173"/>
      </w:pPr>
      <w:r>
        <w:t>Provides alignment recommendations.</w:t>
      </w:r>
    </w:p>
    <w:p>
      <w:pPr>
        <w:pStyle w:val="Heading2"/>
      </w:pPr>
      <w:r>
        <w:t>What You 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Deliverable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What it gives you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AI RMF alignment map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 documented mapping of current practices to the framework.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Gap and opportunity summary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Clear areas to strengthen AI risk management.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Improvement plan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Recommendations to enhance AI governance.</w:t>
            </w:r>
          </w:p>
        </w:tc>
      </w:tr>
    </w:tbl>
    <w:p>
      <w:pPr>
        <w:pStyle w:val="Heading2"/>
      </w:pPr>
      <w:r>
        <w:t>How the Engagement Works</w:t>
      </w:r>
    </w:p>
    <w:p>
      <w:r>
        <w:t>Scoped consulting engagement focused on alignment.</w:t>
      </w:r>
    </w:p>
    <w:p>
      <w:pPr>
        <w:pStyle w:val="Heading2"/>
        <w:keepNext/>
        <w:pageBreakBefore/>
      </w:pPr>
      <w:r>
        <w:t>Pricing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Engagement level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Public price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Best fit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Scope distinction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AI RMF Alignment Assessment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$9,500 fixed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Organizations that need a clear Map, Measure, Manage, and Govern baseline.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AI practice inventory, AI RMF mapping, gap and opportunity summary, ownership model, priority risks, and improvement roadmap.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AI Governance Build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From $18,000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Organizations moving from framework alignment into an operating AI risk-management model.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Assessment plus governance roles, risk methodology, inventory and decision workflow, core policies/standards, evidence expectations, monitoring design, and operating cadence.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Enterprise / Multi-Use-Case Program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From $30,000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Larger AI portfolios, multiple business units, or organizations integrating AI RMF with ISO 42001 and regulatory duties.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Expanded portfolio inventory, cross-framework mapping, enterprise governance model, risk and impact processes, reporting, evidence architecture, and multi-team implementation roadmap.</w:t>
            </w:r>
          </w:p>
        </w:tc>
      </w:tr>
    </w:tbl>
    <w:p>
      <w:pPr>
        <w:pStyle w:val="DeveloperNote"/>
      </w:pPr>
      <w:r>
        <w:t>Website treatment: three cards on desktop, stacked cards on mobile. Each card links to Book a 30-Minute Consultation. Final scope is confirmed in the Statement of Work.</w:t>
      </w:r>
    </w:p>
    <w:p>
      <w:pPr>
        <w:pStyle w:val="DeveloperNote"/>
      </w:pPr>
      <w:r>
        <w:t>Out-of-scope specialist services, software, travel, production changes, and other third-party costs are separate where applicable.</w:t>
      </w:r>
    </w:p>
    <w:p>
      <w:pPr>
        <w:pStyle w:val="Heading2"/>
      </w:pPr>
      <w:r>
        <w:t>What Changes</w:t>
      </w:r>
    </w:p>
    <w:p>
      <w:pPr>
        <w:pStyle w:val="ListBullet"/>
        <w:ind w:left="288" w:hanging="173"/>
      </w:pPr>
      <w:r>
        <w:t>After NIST AI RMF alignment:</w:t>
      </w:r>
    </w:p>
    <w:p>
      <w:pPr>
        <w:pStyle w:val="ListBullet"/>
        <w:ind w:left="288" w:hanging="173"/>
      </w:pPr>
      <w:r>
        <w:t>You have a clearer view of AI risk practices and how they align to the framework.</w:t>
      </w:r>
    </w:p>
    <w:p>
      <w:pPr>
        <w:pStyle w:val="Heading2"/>
      </w:pPr>
      <w:r>
        <w:t>Important Scope Information</w:t>
      </w:r>
    </w:p>
    <w:p>
      <w:pPr>
        <w:pStyle w:val="ListBullet"/>
        <w:ind w:left="288" w:hanging="173"/>
      </w:pPr>
      <w:r>
        <w:t>NIST AI RMF is voluntary; Cyvelle helps you use it to improve governance, not to satisfy a certification.</w:t>
      </w:r>
    </w:p>
    <w:p>
      <w:pPr>
        <w:pStyle w:val="Heading2"/>
      </w:pPr>
      <w:r>
        <w:t>Why Cyvelle</w:t>
      </w:r>
    </w:p>
    <w:p>
      <w:pPr>
        <w:pStyle w:val="ListBullet"/>
        <w:ind w:left="288" w:hanging="173"/>
      </w:pPr>
      <w:r>
        <w:t>Temi’s AI governance and multi-framework experience supports meaningful alignment.</w:t>
      </w:r>
    </w:p>
    <w:p>
      <w:pPr>
        <w:pStyle w:val="Heading2"/>
      </w:pPr>
      <w:r>
        <w:t>Delivered by Temi (Founder Module)</w:t>
      </w:r>
    </w:p>
    <w:p>
      <w:r>
        <w:t>Led by Temi Oyawoye, founder of Cyvelle Consulting.</w:t>
      </w:r>
    </w:p>
    <w:p>
      <w:r>
        <w:t>Temi has spent more than two decades building compliance programs and leading audits across financial services, media and entertainment, healthcare, and technology  -  the kind of range that comes from being audited as much as from auditing. Every Cyvelle engagement is led personally by Temi, from the first conversation through final delivery.</w:t>
      </w:r>
    </w:p>
    <w:p>
      <w:r>
        <w:t>CISA | CISM | CRISC | CDPSE | PCI-QSA | MSIS</w:t>
        <w:br/>
        <w:t>About Temi to · Connect on LinkedIn to</w:t>
      </w:r>
    </w:p>
    <w:p>
      <w:pPr>
        <w:pStyle w:val="Heading2"/>
      </w:pPr>
      <w:r>
        <w:t>FAQ</w:t>
      </w:r>
    </w:p>
    <w:p>
      <w:r>
        <w:t>Is NIST AI RMF mandatory?</w:t>
        <w:br/>
        <w:t>No. It is a voluntary framework. Cyvelle helps you use it to improve AI governance and risk management.</w:t>
      </w:r>
    </w:p>
    <w:p>
      <w:pPr>
        <w:pStyle w:val="Heading2"/>
      </w:pPr>
      <w:r>
        <w:t>Related Intelligence</w:t>
      </w:r>
    </w:p>
    <w:p>
      <w:pPr>
        <w:pStyle w:val="ListBullet"/>
        <w:ind w:left="288" w:hanging="173"/>
      </w:pPr>
      <w:r>
        <w:t>“Using NIST AI RMF to connect AI risk to broader governance.”</w:t>
      </w:r>
    </w:p>
    <w:p>
      <w:pPr>
        <w:pStyle w:val="Heading2"/>
      </w:pPr>
      <w:r>
        <w:t>Related Services</w:t>
      </w:r>
    </w:p>
    <w:p>
      <w:pPr>
        <w:pStyle w:val="ListBullet"/>
        <w:ind w:left="288" w:hanging="173"/>
      </w:pPr>
      <w:r>
        <w:t>ISO 42001 Readiness</w:t>
      </w:r>
    </w:p>
    <w:p>
      <w:pPr>
        <w:pStyle w:val="ListBullet"/>
        <w:ind w:left="288" w:hanging="173"/>
      </w:pPr>
      <w:r>
        <w:t>EU AI Act Readiness</w:t>
      </w:r>
    </w:p>
    <w:p>
      <w:pPr>
        <w:pStyle w:val="ListBullet"/>
        <w:ind w:left="288" w:hanging="173"/>
      </w:pPr>
      <w:r>
        <w:t>Governance Blueprint</w:t>
      </w:r>
    </w:p>
    <w:p>
      <w:pPr>
        <w:pStyle w:val="Heading2"/>
      </w:pPr>
      <w:r>
        <w:t>Internal Linking Instructions</w:t>
      </w:r>
    </w:p>
    <w:p>
      <w:pPr>
        <w:pStyle w:val="ListBullet"/>
        <w:ind w:left="288" w:hanging="173"/>
      </w:pPr>
      <w:r>
        <w:t>Link NIST AI RMF page to AI Governance hub, ISO 42001, EU AI Act, and Governance Blueprint.</w:t>
      </w:r>
    </w:p>
    <w:p>
      <w:pPr>
        <w:pStyle w:val="Heading2"/>
      </w:pPr>
      <w:r>
        <w:t>Developer Notes</w:t>
      </w:r>
    </w:p>
    <w:p>
      <w:pPr>
        <w:pStyle w:val="ListBullet"/>
        <w:ind w:left="288" w:hanging="173"/>
      </w:pPr>
      <w:r>
        <w:t>Clearly state the voluntary nature of AI RMF.</w:t>
      </w:r>
    </w:p>
    <w:p>
      <w:pPr>
        <w:pStyle w:val="ListBullet"/>
        <w:ind w:left="288" w:hanging="173"/>
      </w:pPr>
      <w:r>
        <w:t>End of Launch Priority 3 content.</w:t>
      </w:r>
    </w:p>
    <w:p>
      <w:pPr>
        <w:pStyle w:val="Heading2"/>
      </w:pPr>
      <w:r>
        <w:t>Final Call to Action</w:t>
      </w:r>
    </w:p>
    <w:p>
      <w:r>
        <w:t>Ready to clarify the right path?</w:t>
      </w:r>
    </w:p>
    <w:p>
      <w:r>
        <w:t>Bring the business trigger, deadline, and current challenge. Cyvelle will confirm whether this is the right starting point and what the next decision should be.</w:t>
      </w:r>
    </w:p>
    <w:p>
      <w:r>
        <w:rPr>
          <w:b/>
          <w:color w:val="1F4E79"/>
        </w:rPr>
        <w:t>Book a 30-Minute Consultation</w:t>
      </w:r>
    </w:p>
    <w:p>
      <w:pPr>
        <w:pStyle w:val="DeveloperNote"/>
      </w:pPr>
      <w:r>
        <w:t>Recommended form fields: Name | Work email | Company | Service | Message</w:t>
      </w:r>
    </w:p>
    <w:p>
      <w:pPr>
        <w:pStyle w:val="Heading2"/>
      </w:pPr>
      <w:r>
        <w:t>Final Developer Rules</w:t>
      </w:r>
    </w:p>
    <w:p>
      <w:pPr>
        <w:pStyle w:val="ListBullet"/>
        <w:ind w:left="288" w:hanging="173"/>
      </w:pPr>
      <w:r>
        <w:t>Keep the sticky header CTA as Book a 30-Minute Consultation.</w:t>
      </w:r>
    </w:p>
    <w:p>
      <w:pPr>
        <w:pStyle w:val="ListBullet"/>
        <w:ind w:left="288" w:hanging="173"/>
      </w:pPr>
      <w:r>
        <w:t>Render What You Get as a high-contrast deliverables table or card grid.</w:t>
      </w:r>
    </w:p>
    <w:p>
      <w:pPr>
        <w:pStyle w:val="ListBullet"/>
        <w:ind w:left="288" w:hanging="173"/>
      </w:pPr>
      <w:r>
        <w:t>Render pricing as three cards on desktop and stacked cards on mobile. The Governance Blueprint uses one fixed-price block.</w:t>
      </w:r>
    </w:p>
    <w:p>
      <w:pPr>
        <w:pStyle w:val="ListBullet"/>
        <w:ind w:left="288" w:hanging="173"/>
      </w:pPr>
      <w:r>
        <w:t>Do not expose internal professional-hour guardrails, capacity ceilings, or internal delivery constraints from the Pricing, Scope &amp; Delivery Guide.</w:t>
      </w:r>
    </w:p>
    <w:p>
      <w:pPr>
        <w:pStyle w:val="ListBullet"/>
        <w:ind w:left="288" w:hanging="173"/>
      </w:pPr>
      <w:r>
        <w:t>Use one service-specific process only. Do not add a duplicate global process underneath it.</w:t>
      </w:r>
    </w:p>
    <w:p>
      <w:pPr>
        <w:pStyle w:val="ListBullet"/>
        <w:ind w:left="288" w:hanging="173"/>
      </w:pPr>
      <w:r>
        <w:t>Place Important Scope Information after process and pricing, and before Why Cyvelle, founder module, and FAQ.</w:t>
      </w:r>
    </w:p>
    <w:p>
      <w:pPr>
        <w:pStyle w:val="ListBullet"/>
        <w:ind w:left="288" w:hanging="173"/>
      </w:pPr>
      <w:r>
        <w:t>Use Temi Oyawoye on first mention and in headings. Use Temi naturally thereafter.</w:t>
      </w:r>
    </w:p>
    <w:p>
      <w:pPr>
        <w:pStyle w:val="ListBullet"/>
        <w:ind w:left="288" w:hanging="173"/>
      </w:pPr>
      <w:r>
        <w:t>Founder module links to About and LinkedIn.</w:t>
      </w:r>
    </w:p>
    <w:p>
      <w:pPr>
        <w:pStyle w:val="ListBullet"/>
        <w:ind w:left="288" w:hanging="173"/>
      </w:pPr>
      <w:r>
        <w:t>Hide Related Intelligence until at least two relevant items are live.</w:t>
      </w:r>
    </w:p>
    <w:p>
      <w:pPr>
        <w:pStyle w:val="ListBullet"/>
        <w:ind w:left="288" w:hanging="173"/>
      </w:pPr>
      <w:r>
        <w:t>Do not add guarantees, audit-pass claims, client-count claims, or unsupported quantified outcomes.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87878"/>
        <w:sz w:val="14"/>
      </w:rPr>
      <w:t>Developer implementation document  |  28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96969"/>
        <w:sz w:val="15"/>
      </w:rPr>
      <w:t>CYVELLE CONSULTING  |  DEVELOPER BUILD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2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veloperNote">
    <w:name w:val="Developer Note"/>
    <w:pPr>
      <w:spacing w:after="80"/>
    </w:pPr>
    <w:rPr>
      <w:rFonts w:ascii="Aptos" w:hAnsi="Aptos"/>
      <w:i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