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Governance Blueprint</w:t>
      </w:r>
    </w:p>
    <w:p>
      <w:pPr>
        <w:spacing w:after="200"/>
      </w:pPr>
      <w:r>
        <w:rPr>
          <w:i/>
          <w:color w:val="505050"/>
        </w:rPr>
        <w:t>Developer-ready service page transcript | Source: Final Service Transcript Pack, Volume 1</w:t>
      </w:r>
    </w:p>
    <w:tbl>
      <w:tblPr>
        <w:tblW w:type="auto" w:w="0"/>
        <w:jc w:val="center"/>
        <w:tblLook w:firstColumn="1" w:firstRow="1" w:lastColumn="0" w:lastRow="0" w:noHBand="0" w:noVBand="1" w:val="04A0"/>
      </w:tblPr>
      <w:tblGrid>
        <w:gridCol w:w="10166"/>
      </w:tblGrid>
      <w:tr>
        <w:trPr>
          <w:cantSplit/>
          <w:tblHeader w:val="true"/>
        </w:trPr>
        <w:tc>
          <w:tcPr>
            <w:tcW w:type="dxa" w:w="10166"/>
            <w:shd w:fill="EAF2F8"/>
            <w:tcMar>
              <w:top w:w="120" w:type="dxa"/>
              <w:start w:w="140" w:type="dxa"/>
              <w:bottom w:w="120" w:type="dxa"/>
              <w:end w:w="140" w:type="dxa"/>
            </w:tcMar>
          </w:tcPr>
          <w:p>
            <w:r>
              <w:rPr>
                <w:b/>
                <w:color w:val="17365D"/>
              </w:rPr>
              <w:t>Build status</w:t>
            </w:r>
          </w:p>
          <w:p>
            <w:pPr>
              <w:spacing w:after="0"/>
            </w:pPr>
            <w:r>
              <w:t>This version supersedes earlier no-pricing instructions. Public pricing is approved. Use the pricing section below on this service page. The Governance Blueprint is the sole single-price exception.</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016"/>
            <w:tcMar>
              <w:top w:w="90" w:type="dxa"/>
              <w:start w:w="100" w:type="dxa"/>
              <w:bottom w:w="90" w:type="dxa"/>
              <w:end w:w="100" w:type="dxa"/>
            </w:tcMar>
            <w:vAlign w:val="top"/>
            <w:shd w:fill="D9EAF7"/>
          </w:tcPr>
          <w:p>
            <w:pPr>
              <w:spacing w:after="30"/>
            </w:pPr>
            <w:r>
              <w:rPr>
                <w:rFonts w:ascii="Aptos" w:hAnsi="Aptos"/>
                <w:b/>
                <w:sz w:val="16"/>
              </w:rPr>
              <w:t>Build field</w:t>
            </w:r>
          </w:p>
        </w:tc>
        <w:tc>
          <w:tcPr>
            <w:tcW w:type="dxa" w:w="8496"/>
            <w:tcMar>
              <w:top w:w="90" w:type="dxa"/>
              <w:start w:w="100" w:type="dxa"/>
              <w:bottom w:w="90" w:type="dxa"/>
              <w:end w:w="100" w:type="dxa"/>
            </w:tcMar>
            <w:vAlign w:val="top"/>
            <w:shd w:fill="D9EAF7"/>
          </w:tcPr>
          <w:p>
            <w:pPr>
              <w:spacing w:after="30"/>
            </w:pPr>
            <w:r>
              <w:rPr>
                <w:rFonts w:ascii="Aptos" w:hAnsi="Aptos"/>
                <w:b/>
                <w:sz w:val="16"/>
              </w:rPr>
              <w:t>Approved value</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Page name</w:t>
            </w:r>
          </w:p>
        </w:tc>
        <w:tc>
          <w:tcPr>
            <w:tcW w:type="dxa" w:w="8496"/>
            <w:tcMar>
              <w:top w:w="90" w:type="dxa"/>
              <w:start w:w="100" w:type="dxa"/>
              <w:bottom w:w="90" w:type="dxa"/>
              <w:end w:w="100" w:type="dxa"/>
            </w:tcMar>
            <w:vAlign w:val="top"/>
          </w:tcPr>
          <w:p>
            <w:pPr>
              <w:spacing w:after="30"/>
            </w:pPr>
            <w:r>
              <w:rPr>
                <w:rFonts w:ascii="Aptos" w:hAnsi="Aptos"/>
                <w:sz w:val="16"/>
              </w:rPr>
              <w:t>The Governance Blueprint</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URL</w:t>
            </w:r>
          </w:p>
        </w:tc>
        <w:tc>
          <w:tcPr>
            <w:tcW w:type="dxa" w:w="8496"/>
            <w:tcMar>
              <w:top w:w="90" w:type="dxa"/>
              <w:start w:w="100" w:type="dxa"/>
              <w:bottom w:w="90" w:type="dxa"/>
              <w:end w:w="100" w:type="dxa"/>
            </w:tcMar>
            <w:vAlign w:val="top"/>
          </w:tcPr>
          <w:p>
            <w:pPr>
              <w:spacing w:after="30"/>
            </w:pPr>
            <w:r>
              <w:rPr>
                <w:rFonts w:ascii="Aptos" w:hAnsi="Aptos"/>
                <w:sz w:val="16"/>
              </w:rPr>
              <w:t>/the-governance-blueprint</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SEO title</w:t>
            </w:r>
          </w:p>
        </w:tc>
        <w:tc>
          <w:tcPr>
            <w:tcW w:type="dxa" w:w="8496"/>
            <w:tcMar>
              <w:top w:w="90" w:type="dxa"/>
              <w:start w:w="100" w:type="dxa"/>
              <w:bottom w:w="90" w:type="dxa"/>
              <w:end w:w="100" w:type="dxa"/>
            </w:tcMar>
            <w:vAlign w:val="top"/>
          </w:tcPr>
          <w:p>
            <w:pPr>
              <w:spacing w:after="30"/>
            </w:pPr>
            <w:r>
              <w:rPr>
                <w:rFonts w:ascii="Aptos" w:hAnsi="Aptos"/>
                <w:sz w:val="16"/>
              </w:rPr>
              <w:t>The Governance Blueprint | Cyvelle</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Meta description</w:t>
            </w:r>
          </w:p>
        </w:tc>
        <w:tc>
          <w:tcPr>
            <w:tcW w:type="dxa" w:w="8496"/>
            <w:tcMar>
              <w:top w:w="90" w:type="dxa"/>
              <w:start w:w="100" w:type="dxa"/>
              <w:bottom w:w="90" w:type="dxa"/>
              <w:end w:w="100" w:type="dxa"/>
            </w:tcMar>
            <w:vAlign w:val="top"/>
          </w:tcPr>
          <w:p>
            <w:pPr>
              <w:spacing w:after="30"/>
            </w:pPr>
            <w:r>
              <w:rPr>
                <w:rFonts w:ascii="Aptos" w:hAnsi="Aptos"/>
                <w:sz w:val="16"/>
              </w:rPr>
              <w:t>An integrated diagnostic across cybersecurity, compliance, enterprise risk, and AI governance, producing an evidence map, GRC Debt register, executive risk memo, and 90-day roadmap.</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Primary keyword</w:t>
            </w:r>
          </w:p>
        </w:tc>
        <w:tc>
          <w:tcPr>
            <w:tcW w:type="dxa" w:w="8496"/>
            <w:tcMar>
              <w:top w:w="90" w:type="dxa"/>
              <w:start w:w="100" w:type="dxa"/>
              <w:bottom w:w="90" w:type="dxa"/>
              <w:end w:w="100" w:type="dxa"/>
            </w:tcMar>
            <w:vAlign w:val="top"/>
          </w:tcPr>
          <w:p>
            <w:pPr>
              <w:spacing w:after="30"/>
            </w:pPr>
            <w:r>
              <w:rPr>
                <w:rFonts w:ascii="Aptos" w:hAnsi="Aptos"/>
                <w:sz w:val="16"/>
              </w:rPr>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Secondary keywords</w:t>
            </w:r>
          </w:p>
        </w:tc>
        <w:tc>
          <w:tcPr>
            <w:tcW w:type="dxa" w:w="8496"/>
            <w:tcMar>
              <w:top w:w="90" w:type="dxa"/>
              <w:start w:w="100" w:type="dxa"/>
              <w:bottom w:w="90" w:type="dxa"/>
              <w:end w:w="100" w:type="dxa"/>
            </w:tcMar>
            <w:vAlign w:val="top"/>
          </w:tcPr>
          <w:p>
            <w:pPr>
              <w:spacing w:after="30"/>
            </w:pPr>
            <w:r>
              <w:rPr>
                <w:rFonts w:ascii="Aptos" w:hAnsi="Aptos"/>
                <w:sz w:val="16"/>
              </w:rPr>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Breadcrumb</w:t>
            </w:r>
          </w:p>
        </w:tc>
        <w:tc>
          <w:tcPr>
            <w:tcW w:type="dxa" w:w="8496"/>
            <w:tcMar>
              <w:top w:w="90" w:type="dxa"/>
              <w:start w:w="100" w:type="dxa"/>
              <w:bottom w:w="90" w:type="dxa"/>
              <w:end w:w="100" w:type="dxa"/>
            </w:tcMar>
            <w:vAlign w:val="top"/>
          </w:tcPr>
          <w:p>
            <w:pPr>
              <w:spacing w:after="30"/>
            </w:pPr>
            <w:r>
              <w:rPr>
                <w:rFonts w:ascii="Aptos" w:hAnsi="Aptos"/>
                <w:sz w:val="16"/>
              </w:rPr>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Primary CTA</w:t>
            </w:r>
          </w:p>
        </w:tc>
        <w:tc>
          <w:tcPr>
            <w:tcW w:type="dxa" w:w="8496"/>
            <w:tcMar>
              <w:top w:w="90" w:type="dxa"/>
              <w:start w:w="100" w:type="dxa"/>
              <w:bottom w:w="90" w:type="dxa"/>
              <w:end w:w="100" w:type="dxa"/>
            </w:tcMar>
            <w:vAlign w:val="top"/>
          </w:tcPr>
          <w:p>
            <w:pPr>
              <w:spacing w:after="30"/>
            </w:pPr>
            <w:r>
              <w:rPr>
                <w:rFonts w:ascii="Aptos" w:hAnsi="Aptos"/>
                <w:sz w:val="16"/>
              </w:rPr>
              <w:t>Book a 30-Minute Consultation</w:t>
            </w:r>
          </w:p>
        </w:tc>
      </w:tr>
    </w:tbl>
    <w:p>
      <w:pPr>
        <w:pStyle w:val="Heading1"/>
      </w:pPr>
      <w:r>
        <w:t>Public Page Transcript</w:t>
      </w:r>
    </w:p>
    <w:p>
      <w:pPr>
        <w:pStyle w:val="Heading2"/>
      </w:pPr>
      <w:r>
        <w:t>Hero</w:t>
      </w:r>
    </w:p>
    <w:p>
      <w:r>
        <w:t>The Governance Blueprint</w:t>
      </w:r>
    </w:p>
    <w:p>
      <w:r>
        <w:t>See where governance is breaking, what evidence exists, and what leadership should fix first.</w:t>
      </w:r>
    </w:p>
    <w:p>
      <w:r>
        <w:t>The Governance Blueprint is Cyvelle’s integrated diagnostic across cybersecurity, compliance, enterprise risk, and AI governance. It connects commitments, systems, AI uses, vendors, risks, controls, owners, evidence, and executive decisions in one current-state view and prioritized action plan.</w:t>
      </w:r>
    </w:p>
    <w:p>
      <w:r>
        <w:rPr>
          <w:b/>
          <w:color w:val="1F4E79"/>
        </w:rPr>
        <w:t>Book a 30-Minute Consultation</w:t>
      </w:r>
    </w:p>
    <w:p>
      <w:pPr>
        <w:pStyle w:val="DeveloperNote"/>
      </w:pPr>
      <w:r>
        <w:t>Secondary link: See what the engagement includes</w:t>
      </w:r>
    </w:p>
    <w:p>
      <w:pPr>
        <w:pStyle w:val="Heading2"/>
      </w:pPr>
      <w:r>
        <w:t>Who this is for</w:t>
      </w:r>
    </w:p>
    <w:p>
      <w:r>
        <w:t>Growth-stage and mid-market organizations facing enterprise diligence, overlapping audits, regulatory expansion, AI adoption, board pressure, or rapid growth without one integrated governance view.</w:t>
      </w:r>
    </w:p>
    <w:p>
      <w:pPr>
        <w:pStyle w:val="Heading2"/>
      </w:pPr>
      <w:r>
        <w:t>What brings clients here</w:t>
      </w:r>
    </w:p>
    <w:p>
      <w:r>
        <w:t>Governance work is spread across teams and frameworks. Security, compliance, legal, product, technology, privacy, procurement, and business owners maintain separate lists with no shared priority model.</w:t>
      </w:r>
    </w:p>
    <w:p>
      <w:r>
        <w:t>The organization cannot prove what it says. Policies and customer responses make commitments, but controls, owners, evidence, exceptions, and operating cadence do not consistently support them.</w:t>
      </w:r>
    </w:p>
    <w:p>
      <w:r>
        <w:t>Leadership sees too many findings and too few decisions. Assessments produce long gap lists without showing which issues affect revenue, regulatory exposure, resilience, customers, or board accountability.</w:t>
      </w:r>
    </w:p>
    <w:p>
      <w:pPr>
        <w:pStyle w:val="Heading2"/>
      </w:pPr>
      <w:r>
        <w:t>Why this matters</w:t>
      </w:r>
    </w:p>
    <w:p>
      <w:r>
        <w:t>The Governance Blueprint addresses GRC Debt: the accumulated gap between what the organization has adopted or promised and the controls, evidence, ownership, and governance behind it.</w:t>
      </w:r>
    </w:p>
    <w:p>
      <w:r>
        <w:t>The product integrates four connected areas: cybersecurity, compliance, enterprise risk, and AI governance.</w:t>
      </w:r>
    </w:p>
    <w:p>
      <w:r>
        <w:t>The goal is a decision-ready baseline and near-term operating plan, not another framework workbook.</w:t>
      </w:r>
    </w:p>
    <w:p>
      <w:pPr>
        <w:pStyle w:val="Heading2"/>
      </w:pPr>
      <w:r>
        <w:t>What Cyvelle does</w:t>
      </w:r>
    </w:p>
    <w:p>
      <w:r>
        <w:t>Commitment and obligation map. Identify material customer, regulatory, certification, contractual, policy, board, and responsible-AI commitments within scope.</w:t>
      </w:r>
    </w:p>
    <w:p>
      <w:r>
        <w:t>System, data, AI, and vendor inventory. Document the products, services, systems, data uses, AI use cases, third parties, owners, dependencies, and affected stakeholders that shape governance risk.</w:t>
      </w:r>
    </w:p>
    <w:p>
      <w:r>
        <w:t>Governance current-state assessment. Evaluate decision rights, risk management, control ownership, evidence, exceptions, monitoring, incidents, audit readiness, and executive reporting.</w:t>
      </w:r>
    </w:p>
    <w:p>
      <w:r>
        <w:t>Control-reuse and evidence map. Show which existing controls and artifacts support several obligations, where evidence is weak, and where new controls are needed.</w:t>
      </w:r>
    </w:p>
    <w:p>
      <w:r>
        <w:t>GRC Debt register. Record unsupported commitments, missing ownership, outdated controls, evidence gaps, overdue decisions, duplicate processes, and hidden dependencies.</w:t>
      </w:r>
    </w:p>
    <w:p>
      <w:r>
        <w:t>Executive action plan. Translate the current state into a concise risk memo, priority decisions, accountable owners, and a sequenced 90-day roadmap.</w:t>
      </w:r>
    </w:p>
    <w:p>
      <w:pPr>
        <w:pStyle w:val="Heading2"/>
      </w:pPr>
      <w:r>
        <w:t>What you get</w:t>
      </w:r>
    </w:p>
    <w:p>
      <w:pPr>
        <w:pStyle w:val="DeveloperNote"/>
      </w:pPr>
      <w:r>
        <w:t>Developer treatment: Render this as a bold, high-contrast deliverables table or card grid.</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90" w:type="dxa"/>
              <w:start w:w="100" w:type="dxa"/>
              <w:bottom w:w="90" w:type="dxa"/>
              <w:end w:w="100" w:type="dxa"/>
            </w:tcMar>
            <w:vAlign w:val="top"/>
            <w:shd w:fill="D9EAF7"/>
          </w:tcPr>
          <w:p>
            <w:pPr>
              <w:spacing w:after="30"/>
            </w:pPr>
            <w:r>
              <w:rPr>
                <w:rFonts w:ascii="Aptos" w:hAnsi="Aptos"/>
                <w:b/>
                <w:sz w:val="15"/>
              </w:rPr>
              <w:t>Deliverable</w:t>
            </w:r>
          </w:p>
        </w:tc>
        <w:tc>
          <w:tcPr>
            <w:tcW w:type="dxa" w:w="5083"/>
            <w:tcMar>
              <w:top w:w="90" w:type="dxa"/>
              <w:start w:w="100" w:type="dxa"/>
              <w:bottom w:w="90" w:type="dxa"/>
              <w:end w:w="100" w:type="dxa"/>
            </w:tcMar>
            <w:vAlign w:val="top"/>
            <w:shd w:fill="D9EAF7"/>
          </w:tcPr>
          <w:p>
            <w:pPr>
              <w:spacing w:after="30"/>
            </w:pPr>
            <w:r>
              <w:rPr>
                <w:rFonts w:ascii="Aptos" w:hAnsi="Aptos"/>
                <w:b/>
                <w:sz w:val="15"/>
              </w:rPr>
              <w:t>What it gives your team</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Integrated governance scope and commitment map</w:t>
            </w:r>
          </w:p>
        </w:tc>
        <w:tc>
          <w:tcPr>
            <w:tcW w:type="dxa" w:w="5083"/>
            <w:tcMar>
              <w:top w:w="90" w:type="dxa"/>
              <w:start w:w="100" w:type="dxa"/>
              <w:bottom w:w="90" w:type="dxa"/>
              <w:end w:w="100" w:type="dxa"/>
            </w:tcMar>
            <w:vAlign w:val="top"/>
          </w:tcPr>
          <w:p>
            <w:pPr>
              <w:spacing w:after="30"/>
            </w:pPr>
            <w:r>
              <w:rPr>
                <w:rFonts w:ascii="Aptos" w:hAnsi="Aptos"/>
                <w:sz w:val="15"/>
              </w:rPr>
              <w:t>Sets the agreed boundary, assumptions, and decisions for the work.</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System, data, AI use-case, and critical-vendor inventory</w:t>
            </w:r>
          </w:p>
        </w:tc>
        <w:tc>
          <w:tcPr>
            <w:tcW w:type="dxa" w:w="5083"/>
            <w:tcMar>
              <w:top w:w="90" w:type="dxa"/>
              <w:start w:w="100" w:type="dxa"/>
              <w:bottom w:w="90" w:type="dxa"/>
              <w:end w:w="100" w:type="dxa"/>
            </w:tcMar>
            <w:vAlign w:val="top"/>
          </w:tcPr>
          <w:p>
            <w:pPr>
              <w:spacing w:after="30"/>
            </w:pPr>
            <w:r>
              <w:rPr>
                <w:rFonts w:ascii="Aptos" w:hAnsi="Aptos"/>
                <w:sz w:val="15"/>
              </w:rPr>
              <w:t>Creates one current source of truth for the systems, data, vendors, or activities in scope.</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Cybersecurity, compliance, enterprise-risk, and AI-governance assessment</w:t>
            </w:r>
          </w:p>
        </w:tc>
        <w:tc>
          <w:tcPr>
            <w:tcW w:type="dxa" w:w="5083"/>
            <w:tcMar>
              <w:top w:w="90" w:type="dxa"/>
              <w:start w:w="100" w:type="dxa"/>
              <w:bottom w:w="90" w:type="dxa"/>
              <w:end w:w="100" w:type="dxa"/>
            </w:tcMar>
            <w:vAlign w:val="top"/>
          </w:tcPr>
          <w:p>
            <w:pPr>
              <w:spacing w:after="30"/>
            </w:pPr>
            <w:r>
              <w:rPr>
                <w:rFonts w:ascii="Aptos" w:hAnsi="Aptos"/>
                <w:sz w:val="15"/>
              </w:rPr>
              <w:t>Makes risk decisions, treatment, ownership, and follow-through explicit.</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Control-reuse and evidence map</w:t>
            </w:r>
          </w:p>
        </w:tc>
        <w:tc>
          <w:tcPr>
            <w:tcW w:type="dxa" w:w="5083"/>
            <w:tcMar>
              <w:top w:w="90" w:type="dxa"/>
              <w:start w:w="100" w:type="dxa"/>
              <w:bottom w:w="90" w:type="dxa"/>
              <w:end w:w="100" w:type="dxa"/>
            </w:tcMar>
            <w:vAlign w:val="top"/>
          </w:tcPr>
          <w:p>
            <w:pPr>
              <w:spacing w:after="30"/>
            </w:pPr>
            <w:r>
              <w:rPr>
                <w:rFonts w:ascii="Aptos" w:hAnsi="Aptos"/>
                <w:sz w:val="15"/>
              </w:rPr>
              <w:t>Connects requirements, controls, owners, evidence, and dependencies.</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GRC Debt register and executive risk memo</w:t>
            </w:r>
          </w:p>
        </w:tc>
        <w:tc>
          <w:tcPr>
            <w:tcW w:type="dxa" w:w="5083"/>
            <w:tcMar>
              <w:top w:w="90" w:type="dxa"/>
              <w:start w:w="100" w:type="dxa"/>
              <w:bottom w:w="90" w:type="dxa"/>
              <w:end w:w="100" w:type="dxa"/>
            </w:tcMar>
            <w:vAlign w:val="top"/>
          </w:tcPr>
          <w:p>
            <w:pPr>
              <w:spacing w:after="30"/>
            </w:pPr>
            <w:r>
              <w:rPr>
                <w:rFonts w:ascii="Aptos" w:hAnsi="Aptos"/>
                <w:sz w:val="15"/>
              </w:rPr>
              <w:t>Records risks, gaps, owners, treatment decisions, and status in one place.</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Prioritized 90-day roadmap and operating cadence</w:t>
            </w:r>
          </w:p>
        </w:tc>
        <w:tc>
          <w:tcPr>
            <w:tcW w:type="dxa" w:w="5083"/>
            <w:tcMar>
              <w:top w:w="90" w:type="dxa"/>
              <w:start w:w="100" w:type="dxa"/>
              <w:bottom w:w="90" w:type="dxa"/>
              <w:end w:w="100" w:type="dxa"/>
            </w:tcMar>
            <w:vAlign w:val="top"/>
          </w:tcPr>
          <w:p>
            <w:pPr>
              <w:spacing w:after="30"/>
            </w:pPr>
            <w:r>
              <w:rPr>
                <w:rFonts w:ascii="Aptos" w:hAnsi="Aptos"/>
                <w:sz w:val="15"/>
              </w:rPr>
              <w:t>Sequences the next actions, owners, dependencies, and review dates.</w:t>
            </w:r>
          </w:p>
        </w:tc>
      </w:tr>
    </w:tbl>
    <w:p>
      <w:pPr>
        <w:pStyle w:val="Heading2"/>
      </w:pPr>
      <w:r>
        <w:t>Expected operating outcomes</w:t>
      </w:r>
    </w:p>
    <w:p>
      <w:r>
        <w:t>One governance baseline across security, compliance, risk, and AI.</w:t>
      </w:r>
    </w:p>
    <w:p>
      <w:r>
        <w:t>Clear separation between missing controls, weak evidence, unclear ownership, and overdue decisions.</w:t>
      </w:r>
    </w:p>
    <w:p>
      <w:r>
        <w:t>Less duplicate work through deliberate control and evidence reuse.</w:t>
      </w:r>
    </w:p>
    <w:p>
      <w:r>
        <w:t>A 90-day plan tied to business impact, accountable owners, and leadership action.</w:t>
      </w:r>
    </w:p>
    <w:p>
      <w:pPr>
        <w:pStyle w:val="Heading2"/>
      </w:pPr>
      <w:r>
        <w:t>How the engagement works</w:t>
      </w:r>
    </w:p>
    <w:p>
      <w:r>
        <w:t>Scope and plan. A 30-minute consultation clarifies the business trigger, scope, deadlines, stakeholders, and the decision the engagement needs to support.</w:t>
      </w:r>
    </w:p>
    <w:p>
      <w:r>
        <w:t>Evidence and assessment. Temi reviews existing documentation and evidence, interviews accountable owners, and tests stated requirements against operating reality.</w:t>
      </w:r>
    </w:p>
    <w:p>
      <w:r>
        <w:t>Remediation and implementation. Gaps become a sequenced plan with owners, evidence expectations, dependencies, and decisions. Implementation support follows the agreed scope.</w:t>
      </w:r>
    </w:p>
    <w:p>
      <w:r>
        <w:t>Readout and handoff. Leadership receives the working artifacts, a decision-ready readout, and the cadence needed to keep the program current.</w:t>
      </w:r>
    </w:p>
    <w:p>
      <w:pPr>
        <w:pStyle w:val="Heading3"/>
      </w:pPr>
      <w:r>
        <w:t>Developer note: Do not publish a timing commitment unless Cyvelle separately validates a repeatable delivery range.</w:t>
      </w:r>
    </w:p>
    <w:p>
      <w:pPr>
        <w:pStyle w:val="Heading2"/>
        <w:keepNext/>
        <w:pageBreakBefore/>
      </w:pPr>
      <w:r>
        <w:t>Pricing</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tcMar>
              <w:top w:w="130" w:type="dxa"/>
              <w:start w:w="130" w:type="dxa"/>
              <w:bottom w:w="130" w:type="dxa"/>
              <w:end w:w="130" w:type="dxa"/>
            </w:tcMar>
            <w:shd w:fill="EAF2F8"/>
          </w:tcPr>
          <w:p>
            <w:r>
              <w:rPr>
                <w:rFonts w:ascii="Aptos" w:hAnsi="Aptos"/>
                <w:sz w:val="17"/>
              </w:rPr>
              <w:t>The Governance Blueprint</w:t>
            </w:r>
          </w:p>
        </w:tc>
        <w:tc>
          <w:tcPr>
            <w:tcW w:type="dxa" w:w="3389"/>
            <w:tcMar>
              <w:top w:w="130" w:type="dxa"/>
              <w:start w:w="130" w:type="dxa"/>
              <w:bottom w:w="130" w:type="dxa"/>
              <w:end w:w="130" w:type="dxa"/>
            </w:tcMar>
            <w:shd w:fill="D9EAD3"/>
          </w:tcPr>
          <w:p>
            <w:r>
              <w:rPr>
                <w:rFonts w:ascii="Aptos" w:hAnsi="Aptos"/>
                <w:b/>
                <w:sz w:val="24"/>
              </w:rPr>
              <w:t>$9,500 fixed</w:t>
            </w:r>
          </w:p>
        </w:tc>
        <w:tc>
          <w:tcPr>
            <w:tcW w:type="dxa" w:w="3389"/>
            <w:tcMar>
              <w:top w:w="130" w:type="dxa"/>
              <w:start w:w="130" w:type="dxa"/>
              <w:bottom w:w="130" w:type="dxa"/>
              <w:end w:w="130" w:type="dxa"/>
            </w:tcMar>
            <w:shd w:fill="EAF2F8"/>
          </w:tcPr>
          <w:p>
            <w:r>
              <w:rPr>
                <w:rFonts w:ascii="Aptos" w:hAnsi="Aptos"/>
                <w:sz w:val="17"/>
              </w:rPr>
              <w:t>Integrated diagnostic for one product or business unit with overlapping security, compliance, risk, and AI-governance pressure.</w:t>
              <w:br/>
              <w:br/>
              <w:t>Four-week standard delivery calendar. Obligation and scope map, systems/data/AI/vendor inventory, control and evidence baseline, GRC Debt register, executive risk memo, 90-day roadmap, and executive readout.</w:t>
            </w:r>
          </w:p>
        </w:tc>
      </w:tr>
    </w:tbl>
    <w:p>
      <w:pPr>
        <w:pStyle w:val="DeveloperNote"/>
      </w:pPr>
      <w:r>
        <w:t>Standard public scope: four-week delivery calendar. Final scope is confirmed in the Statement of Work. Implementation beyond the diagnostic is a separate engagement.</w:t>
      </w:r>
    </w:p>
    <w:p>
      <w:pPr>
        <w:pStyle w:val="DeveloperNote"/>
      </w:pPr>
      <w:r>
        <w:t>Out-of-scope specialist services, software, travel, production changes, and other third-party costs are separate where applicable.</w:t>
      </w:r>
    </w:p>
    <w:p>
      <w:pPr>
        <w:pStyle w:val="Heading2"/>
      </w:pPr>
      <w:r>
        <w:t>Scope boundaries</w:t>
      </w:r>
    </w:p>
    <w:p>
      <w:r>
        <w:t>The Blueprint is a scoped diagnostic and action plan. It does not include every implementation activity identified in the roadmap.</w:t>
      </w:r>
    </w:p>
    <w:p>
      <w:r>
        <w:t>It does not issue audit opinions, certifications, legal advice, penetration-test results, or product-conformity decisions.</w:t>
      </w:r>
    </w:p>
    <w:p>
      <w:r>
        <w:t>The final scope defines the product, business unit, legal entities, systems, frameworks, AI uses, vendors, and stakeholders included.</w:t>
      </w:r>
    </w:p>
    <w:p>
      <w:pPr>
        <w:pStyle w:val="DeveloperNote"/>
      </w:pPr>
      <w:r>
        <w:t>Developer treatment: Use a quiet accordion or shaded note. Keep it visible, but do not let it dominate the page.</w:t>
      </w:r>
    </w:p>
    <w:p>
      <w:pPr>
        <w:pStyle w:val="Heading2"/>
      </w:pPr>
      <w:r>
        <w:t>Why Cyvelle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90" w:type="dxa"/>
              <w:start w:w="100" w:type="dxa"/>
              <w:bottom w:w="90" w:type="dxa"/>
              <w:end w:w="100" w:type="dxa"/>
            </w:tcMar>
            <w:vAlign w:val="top"/>
            <w:shd w:fill="D9EAF7"/>
          </w:tcPr>
          <w:p>
            <w:pPr>
              <w:spacing w:after="30"/>
            </w:pPr>
            <w:r>
              <w:rPr>
                <w:rFonts w:ascii="Aptos" w:hAnsi="Aptos"/>
                <w:b/>
                <w:sz w:val="15"/>
              </w:rPr>
              <w:t>Founder-led</w:t>
            </w:r>
          </w:p>
        </w:tc>
        <w:tc>
          <w:tcPr>
            <w:tcW w:type="dxa" w:w="5083"/>
            <w:tcMar>
              <w:top w:w="90" w:type="dxa"/>
              <w:start w:w="100" w:type="dxa"/>
              <w:bottom w:w="90" w:type="dxa"/>
              <w:end w:w="100" w:type="dxa"/>
            </w:tcMar>
            <w:vAlign w:val="top"/>
            <w:shd w:fill="D9EAF7"/>
          </w:tcPr>
          <w:p>
            <w:pPr>
              <w:spacing w:after="30"/>
            </w:pPr>
            <w:r>
              <w:rPr>
                <w:rFonts w:ascii="Aptos" w:hAnsi="Aptos"/>
                <w:b/>
                <w:sz w:val="15"/>
              </w:rPr>
              <w:t>20+ years of operating experience</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Every engagement is led directly by Temi. The practitioner you meet during scoping stays connected to delivery and executive communication.</w:t>
            </w:r>
          </w:p>
        </w:tc>
        <w:tc>
          <w:tcPr>
            <w:tcW w:type="dxa" w:w="5083"/>
            <w:tcMar>
              <w:top w:w="90" w:type="dxa"/>
              <w:start w:w="100" w:type="dxa"/>
              <w:bottom w:w="90" w:type="dxa"/>
              <w:end w:w="100" w:type="dxa"/>
            </w:tcMar>
            <w:vAlign w:val="top"/>
          </w:tcPr>
          <w:p>
            <w:pPr>
              <w:spacing w:after="30"/>
            </w:pPr>
            <w:r>
              <w:rPr>
                <w:rFonts w:ascii="Aptos" w:hAnsi="Aptos"/>
                <w:sz w:val="15"/>
              </w:rPr>
              <w:t>Temi brings more than 20 years across GRC, cybersecurity, audit, enterprise risk, privacy, cloud, and compliance environments.</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Reuse before rebuild</w:t>
            </w:r>
          </w:p>
        </w:tc>
        <w:tc>
          <w:tcPr>
            <w:tcW w:type="dxa" w:w="5083"/>
            <w:tcMar>
              <w:top w:w="90" w:type="dxa"/>
              <w:start w:w="100" w:type="dxa"/>
              <w:bottom w:w="90" w:type="dxa"/>
              <w:end w:w="100" w:type="dxa"/>
            </w:tcMar>
            <w:vAlign w:val="top"/>
          </w:tcPr>
          <w:p>
            <w:pPr>
              <w:spacing w:after="30"/>
            </w:pPr>
            <w:r>
              <w:rPr>
                <w:rFonts w:ascii="Aptos" w:hAnsi="Aptos"/>
                <w:sz w:val="15"/>
              </w:rPr>
              <w:t>Decision-ready reporting</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w:t>
            </w:r>
          </w:p>
        </w:tc>
        <w:tc>
          <w:tcPr>
            <w:tcW w:type="dxa" w:w="5083"/>
            <w:tcMar>
              <w:top w:w="90" w:type="dxa"/>
              <w:start w:w="100" w:type="dxa"/>
              <w:bottom w:w="90" w:type="dxa"/>
              <w:end w:w="100" w:type="dxa"/>
            </w:tcMar>
            <w:vAlign w:val="top"/>
          </w:tcPr>
          <w:p>
            <w:pPr>
              <w:spacing w:after="30"/>
            </w:pPr>
            <w:r>
              <w:rPr>
                <w:rFonts w:ascii="Aptos" w:hAnsi="Aptos"/>
                <w:sz w:val="15"/>
              </w:rPr>
              <w:t>---</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Existing policies, controls, assessments, and evidence are mapped first. New work starts where a real gap remains.</w:t>
            </w:r>
          </w:p>
        </w:tc>
        <w:tc>
          <w:tcPr>
            <w:tcW w:type="dxa" w:w="5083"/>
            <w:tcMar>
              <w:top w:w="90" w:type="dxa"/>
              <w:start w:w="100" w:type="dxa"/>
              <w:bottom w:w="90" w:type="dxa"/>
              <w:end w:w="100" w:type="dxa"/>
            </w:tcMar>
            <w:vAlign w:val="top"/>
          </w:tcPr>
          <w:p>
            <w:pPr>
              <w:spacing w:after="30"/>
            </w:pPr>
            <w:r>
              <w:rPr>
                <w:rFonts w:ascii="Aptos" w:hAnsi="Aptos"/>
                <w:sz w:val="15"/>
              </w:rPr>
              <w:t>Leadership receives priorities, owners, dependencies, evidence expectations, and decisions to make, not a gap list without an operating path.</w:t>
            </w:r>
          </w:p>
        </w:tc>
      </w:tr>
    </w:tbl>
    <w:p>
      <w:pPr>
        <w:pStyle w:val="ListBullet"/>
        <w:ind w:left="288" w:hanging="173"/>
      </w:pPr>
      <w:r>
        <w:t>10. Led by Temi</w:t>
      </w:r>
    </w:p>
    <w:p>
      <w:pPr>
        <w:pStyle w:val="ListBullet"/>
        <w:ind w:left="288" w:hanging="173"/>
      </w:pPr>
      <w:r>
        <w:t>Every Cyvelle engagement is led by Temi Oyawoye. Temi brings more than 20 years of experience across governance, risk and compliance, cybersecurity, audit, enterprise risk, privacy, cloud, and emerging AI governance. The work connects requirements to accountable ownership, evidence, executive reporting, and business decisions.</w:t>
      </w:r>
    </w:p>
    <w:p>
      <w:pPr>
        <w:pStyle w:val="ListBullet"/>
        <w:ind w:left="288" w:hanging="173"/>
      </w:pPr>
      <w:r>
        <w:t>CISA | CISM | CRISC | CDPSE | PCI-QSA | MSIS</w:t>
      </w:r>
    </w:p>
    <w:p>
      <w:r>
        <w:t xml:space="preserve">Connect with Temi on LinkedIn: </w:t>
      </w:r>
      <w:hyperlink r:id="rId11">
        <w:r>
          <w:rPr>
            <w:color w:val="2563EB"/>
            <w:u w:val="single"/>
          </w:rPr>
          <w:t>LinkedIn</w:t>
        </w:r>
      </w:hyperlink>
    </w:p>
    <w:p>
      <w:r>
        <w:rPr>
          <w:b/>
          <w:color w:val="1F4E79"/>
        </w:rPr>
        <w:t>Book a 30-Minute Consultation</w:t>
      </w:r>
    </w:p>
    <w:p>
      <w:pPr>
        <w:pStyle w:val="Heading2"/>
      </w:pPr>
      <w:r>
        <w:t>Frequently asked questions</w:t>
      </w:r>
    </w:p>
    <w:p>
      <w:r>
        <w:t>Is The Governance Blueprint only for AI governance?</w:t>
      </w:r>
    </w:p>
    <w:p>
      <w:r>
        <w:t>No. The product integrates cybersecurity, compliance, enterprise risk, and AI governance. AI forms a connected part of the operating model rather than a separate add-on.</w:t>
      </w:r>
    </w:p>
    <w:p>
      <w:r>
        <w:t>How is this different from a maturity assessment?</w:t>
      </w:r>
    </w:p>
    <w:p>
      <w:r>
        <w:t>A maturity assessment evaluates cybersecurity outcomes against a defined framework and target state. The Blueprint also maps commitments, compliance, enterprise risk, AI use, evidence reuse, ownership, and GRC Debt across the selected scope.</w:t>
      </w:r>
    </w:p>
    <w:p>
      <w:r>
        <w:t>Will this prepare us for a certification?</w:t>
      </w:r>
    </w:p>
    <w:p>
      <w:r>
        <w:t>The Blueprint identifies which readiness work matters, what evidence already exists, and which gaps affect the target certification. A dedicated readiness engagement handles full implementation and assessor coordination.</w:t>
      </w:r>
    </w:p>
    <w:p>
      <w:r>
        <w:t>What is GRC Debt?</w:t>
      </w:r>
    </w:p>
    <w:p>
      <w:r>
        <w:t>GRC Debt is the accumulated gap between what the organization has adopted or promised and the controls, evidence, ownership, and governance needed to support it.</w:t>
      </w:r>
    </w:p>
    <w:p>
      <w:r>
        <w:t>What happens after the Blueprint?</w:t>
      </w:r>
    </w:p>
    <w:p>
      <w:r>
        <w:t>Leadership selects the priority path. Cyvelle supports implementation, readiness, fractional leadership, or targeted risk work under a separate scope, or hands the roadmap to the organization’s chosen team.</w:t>
      </w:r>
    </w:p>
    <w:p>
      <w:r>
        <w:t>12. Related Intelligence and related services</w:t>
      </w:r>
    </w:p>
    <w:p>
      <w:pPr>
        <w:pStyle w:val="DeveloperNote"/>
      </w:pPr>
      <w:r>
        <w:t>Developer treatment: Display 2-3 tagged articles or guides when relevant material exists. Hide this block until at least two relevant items are published.</w:t>
      </w:r>
    </w:p>
    <w:p>
      <w:pPr>
        <w:pStyle w:val="Heading2"/>
      </w:pPr>
      <w:r>
        <w:t>Related services:</w:t>
      </w:r>
    </w:p>
    <w:p>
      <w:r>
        <w:t>Virtual CISO</w:t>
      </w:r>
    </w:p>
    <w:p>
      <w:r>
        <w:t>Cybersecurity Maturity Assessment</w:t>
      </w:r>
    </w:p>
    <w:p>
      <w:r>
        <w:t>ISO 42001 Readiness</w:t>
      </w:r>
    </w:p>
    <w:p>
      <w:r>
        <w:t>Fractional Compliance Officer</w:t>
      </w:r>
    </w:p>
    <w:p>
      <w:pPr>
        <w:pStyle w:val="Heading2"/>
      </w:pPr>
      <w:r>
        <w:t>Final call to action</w:t>
      </w:r>
    </w:p>
    <w:p>
      <w:r>
        <w:t>Ready to clarify the right path?</w:t>
      </w:r>
    </w:p>
    <w:p>
      <w:r>
        <w:t>Bring the business trigger, deadline, and current challenge. Cyvelle will confirm whether this is the right starting point and what the next decision should be.</w:t>
      </w:r>
    </w:p>
    <w:p>
      <w:r>
        <w:rPr>
          <w:b/>
          <w:color w:val="1F4E79"/>
        </w:rPr>
        <w:t>Book a 30-Minute Consultation</w:t>
      </w:r>
    </w:p>
    <w:p>
      <w:pPr>
        <w:pStyle w:val="DeveloperNote"/>
      </w:pPr>
      <w:r>
        <w:t>Recommended form fields: Name | Work email | Company | Service | Message</w:t>
      </w:r>
    </w:p>
    <w:p>
      <w:pPr>
        <w:pStyle w:val="Heading2"/>
      </w:pPr>
      <w:r>
        <w:t>Developer Implementation Checklist</w:t>
      </w:r>
    </w:p>
    <w:p>
      <w:pPr>
        <w:pStyle w:val="ListBullet"/>
        <w:ind w:left="288" w:hanging="173"/>
      </w:pPr>
      <w:r>
        <w:t>Use the same 30-minute consultation CTA across the site.</w:t>
      </w:r>
    </w:p>
    <w:p>
      <w:pPr>
        <w:pStyle w:val="ListBullet"/>
        <w:ind w:left="288" w:hanging="173"/>
      </w:pPr>
      <w:r>
        <w:t>Use Temi Oyawoye on first mention and in headings; use Temi naturally in subsequent narrative copy.</w:t>
      </w:r>
    </w:p>
    <w:p>
      <w:r>
        <w:t xml:space="preserve">Link the founder module to </w:t>
      </w:r>
      <w:hyperlink r:id="rId11">
        <w:r>
          <w:rPr>
            <w:color w:val="2563EB"/>
            <w:u w:val="single"/>
          </w:rPr>
          <w:t>LinkedIn</w:t>
        </w:r>
      </w:hyperlink>
    </w:p>
    <w:p>
      <w:pPr>
        <w:pStyle w:val="ListBullet"/>
        <w:ind w:left="288" w:hanging="173"/>
      </w:pPr>
      <w:r>
        <w:t>Keep What You Get visually stronger than explanatory framework copy.</w:t>
      </w:r>
    </w:p>
    <w:p>
      <w:pPr>
        <w:pStyle w:val="ListBullet"/>
        <w:ind w:left="288" w:hanging="173"/>
      </w:pPr>
      <w:r>
        <w:t>Use one service-specific engagement process; do not add a duplicate global process underneath it.</w:t>
      </w:r>
    </w:p>
    <w:p>
      <w:pPr>
        <w:pStyle w:val="ListBullet"/>
        <w:ind w:left="288" w:hanging="173"/>
      </w:pPr>
      <w:r>
        <w:t>Do not add a universal Cyvelle-versus-large-firm comparison table.</w:t>
      </w:r>
    </w:p>
    <w:p>
      <w:pPr>
        <w:pStyle w:val="ListBullet"/>
        <w:ind w:left="288" w:hanging="173"/>
      </w:pPr>
      <w:r>
        <w:t>Do not publish guarantees, audit-pass claims, client-count claims, or other performance claims unless separately approved and substantiated.</w:t>
      </w:r>
    </w:p>
    <w:p>
      <w:pPr>
        <w:pStyle w:val="Heading2"/>
      </w:pPr>
      <w:r>
        <w:t>Final Developer Rules</w:t>
      </w:r>
    </w:p>
    <w:p>
      <w:pPr>
        <w:pStyle w:val="ListBullet"/>
        <w:ind w:left="288" w:hanging="173"/>
      </w:pPr>
      <w:r>
        <w:t>Keep the sticky header CTA as Book a 30-Minute Consultation.</w:t>
      </w:r>
    </w:p>
    <w:p>
      <w:pPr>
        <w:pStyle w:val="ListBullet"/>
        <w:ind w:left="288" w:hanging="173"/>
      </w:pPr>
      <w:r>
        <w:t>Render What You Get as a high-contrast deliverables table or card grid.</w:t>
      </w:r>
    </w:p>
    <w:p>
      <w:pPr>
        <w:pStyle w:val="ListBullet"/>
        <w:ind w:left="288" w:hanging="173"/>
      </w:pPr>
      <w:r>
        <w:t>Render pricing as three cards on desktop and stacked cards on mobile. The Governance Blueprint uses one fixed-price block.</w:t>
      </w:r>
    </w:p>
    <w:p>
      <w:pPr>
        <w:pStyle w:val="ListBullet"/>
        <w:ind w:left="288" w:hanging="173"/>
      </w:pPr>
      <w:r>
        <w:t>Do not expose internal professional-hour guardrails, capacity ceilings, or internal delivery constraints from the Pricing, Scope &amp; Delivery Guide.</w:t>
      </w:r>
    </w:p>
    <w:p>
      <w:pPr>
        <w:pStyle w:val="ListBullet"/>
        <w:ind w:left="288" w:hanging="173"/>
      </w:pPr>
      <w:r>
        <w:t>Use one service-specific process only. Do not add a duplicate global process underneath it.</w:t>
      </w:r>
    </w:p>
    <w:p>
      <w:pPr>
        <w:pStyle w:val="ListBullet"/>
        <w:ind w:left="288" w:hanging="173"/>
      </w:pPr>
      <w:r>
        <w:t>Place Important Scope Information after process and pricing, and before Why Cyvelle, founder module, and FAQ.</w:t>
      </w:r>
    </w:p>
    <w:p>
      <w:pPr>
        <w:pStyle w:val="ListBullet"/>
        <w:ind w:left="288" w:hanging="173"/>
      </w:pPr>
      <w:r>
        <w:t>Use Temi Oyawoye on first mention and in headings. Use Temi naturally thereafter.</w:t>
      </w:r>
    </w:p>
    <w:p>
      <w:pPr>
        <w:pStyle w:val="ListBullet"/>
        <w:ind w:left="288" w:hanging="173"/>
      </w:pPr>
      <w:r>
        <w:t>Founder module links to About and LinkedIn.</w:t>
      </w:r>
    </w:p>
    <w:p>
      <w:pPr>
        <w:pStyle w:val="ListBullet"/>
        <w:ind w:left="288" w:hanging="173"/>
      </w:pPr>
      <w:r>
        <w:t>Hide Related Intelligence until at least two relevant items are live.</w:t>
      </w:r>
    </w:p>
    <w:p>
      <w:pPr>
        <w:pStyle w:val="ListBullet"/>
        <w:ind w:left="288" w:hanging="173"/>
      </w:pPr>
      <w:r>
        <w:t>Do not add guarantees, audit-pass claims, client-count claims, or unsupported quantified outcomes.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4"/>
      </w:rPr>
      <w:t>Developer implementation document  |  28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96969"/>
        <w:sz w:val="15"/>
      </w:rPr>
      <w:t>CYVELLE CONSULTING  |  DEVELOPER BUILD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veloperNote">
    <w:name w:val="Developer Note"/>
    <w:pPr>
      <w:spacing w:after="80"/>
    </w:pPr>
    <w:rPr>
      <w:rFonts w:ascii="Aptos" w:hAnsi="Aptos"/>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inkedin.com/in/temioyawoy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