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Authentication Service — Software Requirements Specification</w:t>
      </w:r>
    </w:p>
    <w:p>
      <w:pPr>
        <w:pStyle w:val="Heading1"/>
      </w:pPr>
      <w:r>
        <w:t>1. Introduction</w:t>
      </w:r>
    </w:p>
    <w:p>
      <w:r>
        <w:t>This document specifies the functional and non-functional requirements for the Authentication Service, which provides user authentication, session management, and token issuance for client applications (web and mobile) accessing the platform via the API Gateway.</w:t>
      </w:r>
    </w:p>
    <w:p>
      <w:pPr>
        <w:pStyle w:val="Heading1"/>
      </w:pPr>
      <w:r>
        <w:t>2. System Overview</w:t>
      </w:r>
    </w:p>
    <w:p>
      <w:r>
        <w:t>The Authentication Service is composed of an AuthController, a TokenService, a PasswordHasher, and a SessionManager, fronted by a Rate Limiter and Request Router at the API Gateway layer. User records are persisted in UserDB; session state is persisted in SessionStore; authentication events are persisted in AuditDB.</w:t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3.1 User Authentication</w:t>
      </w:r>
    </w:p>
    <w:p>
      <w:r>
        <w:t>FR-AUTH-001: The system shall authenticate users via POST /auth/login using an email address and password.</w:t>
      </w:r>
    </w:p>
    <w:p>
      <w:r>
        <w:t>FR-AUTH-002: The system shall return HTTP 401 Unauthorized when the submitted credentials are invalid.</w:t>
      </w:r>
    </w:p>
    <w:p>
      <w:r>
        <w:t>FR-AUTH-003: The system shall require a time-based one-time password (TOTP) code to complete authentication when multi-factor authentication (MFA) is enabled for the user account.</w:t>
      </w:r>
    </w:p>
    <w:p>
      <w:pPr>
        <w:pStyle w:val="Heading2"/>
      </w:pPr>
      <w:r>
        <w:t>3.2 Session and Token Management</w:t>
      </w:r>
    </w:p>
    <w:p>
      <w:r>
        <w:t>FR-AUTH-004: The system shall issue an access token and a refresh token upon successful authentication.</w:t>
      </w:r>
    </w:p>
    <w:p>
      <w:r>
        <w:t>FR-AUTH-005: The system shall allow a client to obtain a new access token via POST /auth/refresh using a valid, non-expired refresh token.</w:t>
      </w:r>
    </w:p>
    <w:p>
      <w:r>
        <w:t>FR-AUTH-006: The system shall invalidate a user's active session upon logout via POST /auth/logout.</w:t>
      </w:r>
    </w:p>
    <w:p>
      <w:pPr>
        <w:pStyle w:val="Heading2"/>
      </w:pPr>
      <w:r>
        <w:t>3.3 Account Protection</w:t>
      </w:r>
    </w:p>
    <w:p>
      <w:r>
        <w:t>FR-AUTH-007: The system shall lock a user account after 5 consecutive failed login attempts.</w:t>
      </w:r>
    </w:p>
    <w:p>
      <w:r>
        <w:t>FR-AUTH-008: The system shall automatically unlock a locked account after 15 minutes.</w:t>
      </w:r>
    </w:p>
    <w:p>
      <w:r>
        <w:t>FR-AUTH-009: The system shall rate-limit login attempts to 10 requests per minute per client IP address.</w:t>
      </w:r>
    </w:p>
    <w:p>
      <w:pPr>
        <w:pStyle w:val="Heading2"/>
      </w:pPr>
      <w:r>
        <w:t>3.4 Audit Logging</w:t>
      </w:r>
    </w:p>
    <w:p>
      <w:r>
        <w:t>FR-AUTH-010: The system shall record an audit log entry for every login success, login failure, and logout event.</w:t>
      </w:r>
    </w:p>
    <w:p>
      <w:pPr>
        <w:pStyle w:val="Heading1"/>
      </w:pPr>
      <w:r>
        <w:t>4. Non-Functional Requirements</w:t>
      </w:r>
    </w:p>
    <w:p>
      <w:r>
        <w:t>NFR-AUTH-001: All client-server communication shall use TLS 1.2 or higher.</w:t>
      </w:r>
    </w:p>
    <w:p>
      <w:r>
        <w:t>NFR-AUTH-002: Access tokens shall be signed using the RS256 asymmetric algorithm.</w:t>
      </w:r>
    </w:p>
    <w:p>
      <w:r>
        <w:t>NFR-AUTH-003: Access tokens shall expire 15 minutes after issuance.</w:t>
      </w:r>
    </w:p>
    <w:p>
      <w:r>
        <w:t>NFR-AUTH-004: User passwords shall be a minimum of 12 characters and shall contain uppercase, lowercase, numeric, and symbol characters.</w:t>
      </w:r>
    </w:p>
    <w:p>
      <w:r>
        <w:t>NFR-AUTH-005: Audit log records shall be retained for a minimum of 90 days.</w:t>
      </w:r>
    </w:p>
    <w:p>
      <w:pPr>
        <w:pStyle w:val="Heading1"/>
      </w:pPr>
      <w:r>
        <w:t>5. User Roles</w:t>
      </w:r>
    </w:p>
    <w:p>
      <w:r>
        <w:t>Registered User: an authenticated end user of the client application.</w:t>
      </w:r>
    </w:p>
    <w:p>
      <w:r>
        <w:t>Unauthenticated Client: a caller that has not yet completed authentication.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