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Calibri" w:hAnsi="Calibri"/>
          <w:b/>
          <w:color w:val="0F5132"/>
          <w:sz w:val="48"/>
        </w:rPr>
        <w:t>CORIPET RVM PROSPECTIVE PREDICTOR</w:t>
      </w:r>
    </w:p>
    <w:p>
      <w:pPr>
        <w:spacing w:after="240"/>
      </w:pPr>
      <w:r>
        <w:rPr>
          <w:rFonts w:ascii="Calibri" w:hAnsi="Calibri"/>
          <w:color w:val="198754"/>
          <w:sz w:val="26"/>
        </w:rPr>
        <w:t>Complete Operational, Technical &amp; Feature Manual for the Production Decision Support Dashboard</w:t>
      </w:r>
    </w:p>
    <w:tbl>
      <w:tblPr>
        <w:tblW w:type="auto" w:w="0"/>
        <w:jc w:val="center"/>
        <w:tblLayout w:type="fixed"/>
        <w:tblLook w:firstColumn="1" w:firstRow="1" w:lastColumn="0" w:lastRow="0" w:noHBand="0" w:noVBand="1" w:val="04A0"/>
      </w:tblPr>
      <w:tblGrid>
        <w:gridCol w:w="4968"/>
        <w:gridCol w:w="4968"/>
      </w:tblGrid>
      <w:tr>
        <w:tc>
          <w:tcPr>
            <w:tcW w:type="dxa" w:w="2880"/>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System Attribute</w:t>
            </w:r>
          </w:p>
        </w:tc>
        <w:tc>
          <w:tcPr>
            <w:tcW w:type="dxa" w:w="6912"/>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Live Production Specification</w:t>
            </w:r>
          </w:p>
        </w:tc>
      </w:tr>
      <w:tr>
        <w:tc>
          <w:tcPr>
            <w:tcW w:type="dxa" w:w="288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Application Core</w:t>
            </w:r>
          </w:p>
        </w:tc>
        <w:tc>
          <w:tcPr>
            <w:tcW w:type="dxa" w:w="691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Streamlit 4-Tab Decision Support Suite (Port 8501) powered by MultiTaskRVMNet &amp; LightGBM</w:t>
            </w:r>
          </w:p>
        </w:tc>
      </w:tr>
      <w:tr>
        <w:tc>
          <w:tcPr>
            <w:tcW w:type="dxa" w:w="288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Active Navigation Tabs</w:t>
            </w:r>
          </w:p>
        </w:tc>
        <w:tc>
          <w:tcPr>
            <w:tcW w:type="dxa" w:w="691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 Prospective Predictor | 📋 SPL Machines | 💡 POT Machines | 🔍 Outlier &amp; Defect Simulator</w:t>
            </w:r>
          </w:p>
        </w:tc>
      </w:tr>
      <w:tr>
        <w:tc>
          <w:tcPr>
            <w:tcW w:type="dxa" w:w="288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Neural Network Core</w:t>
            </w:r>
          </w:p>
        </w:tc>
        <w:tc>
          <w:tcPr>
            <w:tcW w:type="dxa" w:w="691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MultiTaskRVMNet (PyTorch): Shared Trunk [256-&gt;128-&gt;64] + Dual Heads (PRESENZE &amp; BOTTIGLIE)</w:t>
            </w:r>
          </w:p>
        </w:tc>
      </w:tr>
      <w:tr>
        <w:tc>
          <w:tcPr>
            <w:tcW w:type="dxa" w:w="288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Stacking Ensemble</w:t>
            </w:r>
          </w:p>
        </w:tc>
        <w:tc>
          <w:tcPr>
            <w:tcW w:type="dxa" w:w="691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LightGBM Gradient Boosted Trees (90% Bottles / 65% Presenze) + MultiTaskRVMNet (10% / 35%)</w:t>
            </w:r>
          </w:p>
        </w:tc>
      </w:tr>
      <w:tr>
        <w:tc>
          <w:tcPr>
            <w:tcW w:type="dxa" w:w="288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Loss Formulation</w:t>
            </w:r>
          </w:p>
        </w:tc>
        <w:tc>
          <w:tcPr>
            <w:tcW w:type="dxa" w:w="691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MultiTaskHuberLoss (delta=1.0) with Task-Balancing &amp; Anomaly Sample Weights</w:t>
            </w:r>
          </w:p>
        </w:tc>
      </w:tr>
      <w:tr>
        <w:tc>
          <w:tcPr>
            <w:tcW w:type="dxa" w:w="288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Certified Hardware Suite</w:t>
            </w:r>
          </w:p>
        </w:tc>
        <w:tc>
          <w:tcPr>
            <w:tcW w:type="dxa" w:w="691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4 Certified Models Evaluated Simultaneously: Daint A-bis, Daint B-Bis, Daint G, Ripet C-Front</w:t>
            </w:r>
          </w:p>
        </w:tc>
      </w:tr>
      <w:tr>
        <w:tc>
          <w:tcPr>
            <w:tcW w:type="dxa" w:w="288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Geographic Coverage</w:t>
            </w:r>
          </w:p>
        </w:tc>
        <w:tc>
          <w:tcPr>
            <w:tcW w:type="dxa" w:w="691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Republic of Italy: 107 Provinces, 7,904 Municipalities, 25,104 Nielsen Store Universe</w:t>
            </w:r>
          </w:p>
        </w:tc>
      </w:tr>
      <w:tr>
        <w:tc>
          <w:tcPr>
            <w:tcW w:type="dxa" w:w="288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Database Repository</w:t>
            </w:r>
          </w:p>
        </w:tc>
        <w:tc>
          <w:tcPr>
            <w:tcW w:type="dxa" w:w="691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Universal MariaDB 10.6+ / PostgreSQL 16 Architecture (1,849 Active Installed Machines, 1.77M Telemetry Rows in master_daily_rvm)</w:t>
            </w:r>
          </w:p>
        </w:tc>
      </w:tr>
      <w:tr>
        <w:tc>
          <w:tcPr>
            <w:tcW w:type="dxa" w:w="288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Inspection Ingestion</w:t>
            </w:r>
          </w:p>
        </w:tc>
        <w:tc>
          <w:tcPr>
            <w:tcW w:type="dxa" w:w="691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Live Coripet REST API (macchine.coripet.it) with PUNTOVENDITA Commercial Grocery Filter</w:t>
            </w:r>
          </w:p>
        </w:tc>
      </w:tr>
      <w:tr>
        <w:tc>
          <w:tcPr>
            <w:tcW w:type="dxa" w:w="288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Clearance Engine</w:t>
            </w:r>
          </w:p>
        </w:tc>
        <w:tc>
          <w:tcPr>
            <w:tcW w:type="dxa" w:w="691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6 Core Operational Clearance Gates with 250 b/d Breakeven Economic Threshold</w:t>
            </w:r>
          </w:p>
        </w:tc>
      </w:tr>
      <w:tr>
        <w:tc>
          <w:tcPr>
            <w:tcW w:type="dxa" w:w="288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Anomaly Fleet Audit</w:t>
            </w:r>
          </w:p>
        </w:tc>
        <w:tc>
          <w:tcPr>
            <w:tcW w:type="dxa" w:w="691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10-Option Rule Filtering Dropdown covering 8 Certified Hardware &amp; Operational Anomaly Regimes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792"/>
            <w:shd w:fill="f0fdf4"/>
            <w:tcMar>
              <w:top w:w="130" w:type="dxa"/>
              <w:bottom w:w="130" w:type="dxa"/>
              <w:left w:w="180" w:type="dxa"/>
              <w:right w:w="160" w:type="dxa"/>
            </w:tcMar>
            <w:tcBorders>
              <w:top w:sz="4" w:val="single" w:color="cbd5e1"/>
              <w:left w:sz="24" w:val="single" w:color="198754"/>
              <w:bottom w:sz="4" w:val="single" w:color="cbd5e1"/>
              <w:right w:sz="4" w:val="single" w:color="cbd5e1"/>
            </w:tcBorders>
          </w:tcPr>
          <w:p>
            <w:pPr>
              <w:spacing w:before="40" w:after="40" w:line="276" w:lineRule="auto"/>
            </w:pPr>
            <w:r>
              <w:rPr>
                <w:rFonts w:ascii="Calibri" w:hAnsi="Calibri"/>
                <w:b/>
                <w:color w:val="0F5132"/>
                <w:sz w:val="20"/>
              </w:rPr>
              <w:t xml:space="preserve">📌 PRODUCTION SYSTEM SPECIFICATION: </w:t>
            </w:r>
            <w:r>
              <w:rPr>
                <w:rFonts w:ascii="Calibri" w:hAnsi="Calibri"/>
                <w:color w:val="0F172A"/>
                <w:sz w:val="19"/>
              </w:rPr>
              <w:t>This document serves as the authoritative, comprehensive system manual for the live Coripet RVM Prospective Predictor. Every section directly documents the active features, live UI screens, operational calculators, data pipelines, deep neural network architecture, and mathematical models running in production, strictly reflecting the current codebase architecture.</w:t>
            </w:r>
          </w:p>
        </w:tc>
      </w:tr>
    </w:tbl>
    <w:p>
      <w:pPr>
        <w:spacing w:after="80"/>
      </w:pPr>
    </w:p>
    <w:p>
      <w:pPr>
        <w:pStyle w:val="Heading1"/>
        <w:keepNext/>
        <w:spacing w:before="360" w:after="120"/>
      </w:pPr>
      <w:r>
        <w:rPr>
          <w:rFonts w:ascii="Calibri" w:hAnsi="Calibri"/>
          <w:b/>
          <w:color w:val="0F5132"/>
          <w:sz w:val="32"/>
        </w:rPr>
        <w:t>1. Application Navigation &amp; High-Level Architecture</w:t>
      </w:r>
    </w:p>
    <w:p>
      <w:pPr>
        <w:spacing w:after="100" w:line="276" w:lineRule="auto"/>
      </w:pPr>
      <w:r>
        <w:rPr>
          <w:rFonts w:ascii="Calibri" w:hAnsi="Calibri"/>
          <w:color w:val="0F172A"/>
          <w:sz w:val="20"/>
        </w:rPr>
        <w:t>The Coripet RVM Prospective Predictor is an enterprise spatial intelligence and decision-support application. It enables Coripet commercial directors, network development managers, and retail partners to evaluate prospective supermarket locations, manage active candidate pipelines, and monitor overall machine fleet health. The application is accessible via an adaptive, dark glassmorphic interface divided into four primary navigation views: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152"/>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Navigation Tab</w:t>
            </w:r>
          </w:p>
        </w:tc>
        <w:tc>
          <w:tcPr>
            <w:tcW w:type="dxa" w:w="2592"/>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Icon / Label</w:t>
            </w:r>
          </w:p>
        </w:tc>
        <w:tc>
          <w:tcPr>
            <w:tcW w:type="dxa" w:w="3888"/>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Primary Function</w:t>
            </w:r>
          </w:p>
        </w:tc>
        <w:tc>
          <w:tcPr>
            <w:tcW w:type="dxa" w:w="2160"/>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Operational Target User</w:t>
            </w:r>
          </w:p>
        </w:tc>
      </w:tr>
      <w:tr>
        <w:tc>
          <w:tcPr>
            <w:tcW w:type="dxa" w:w="115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Tab 1</w:t>
            </w:r>
          </w:p>
        </w:tc>
        <w:tc>
          <w:tcPr>
            <w:tcW w:type="dxa" w:w="259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 Prospective Predictor</w:t>
            </w:r>
          </w:p>
        </w:tc>
        <w:tc>
          <w:tcPr>
            <w:tcW w:type="dxa" w:w="388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Guided 3-step decision support wizard with real-time scenario modeling, certified 4-model capacity matrix, 12-month intake profile, and 6-gate clearance verdict.</w:t>
            </w:r>
          </w:p>
        </w:tc>
        <w:tc>
          <w:tcPr>
            <w:tcW w:type="dxa" w:w="216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Business Development &amp; Commercial Underwriters</w:t>
            </w:r>
          </w:p>
        </w:tc>
      </w:tr>
      <w:tr>
        <w:tc>
          <w:tcPr>
            <w:tcW w:type="dxa" w:w="115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Tab 2</w:t>
            </w:r>
          </w:p>
        </w:tc>
        <w:tc>
          <w:tcPr>
            <w:tcW w:type="dxa" w:w="259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 SPL Machines</w:t>
            </w:r>
          </w:p>
        </w:tc>
        <w:tc>
          <w:tcPr>
            <w:tcW w:type="dxa" w:w="388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Live directory of inspected candidate locations (Sopralluogo Completato, 61 machines) with 5-month recency filtering, volume tiers, and one-click 'Results 📊' prediction handoff.</w:t>
            </w:r>
          </w:p>
        </w:tc>
        <w:tc>
          <w:tcPr>
            <w:tcW w:type="dxa" w:w="216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Network Operations &amp; Deployment Planners</w:t>
            </w:r>
          </w:p>
        </w:tc>
      </w:tr>
      <w:tr>
        <w:tc>
          <w:tcPr>
            <w:tcW w:type="dxa" w:w="115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Tab 3</w:t>
            </w:r>
          </w:p>
        </w:tc>
        <w:tc>
          <w:tcPr>
            <w:tcW w:type="dxa" w:w="259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 POT Machines</w:t>
            </w:r>
          </w:p>
        </w:tc>
        <w:tc>
          <w:tcPr>
            <w:tcW w:type="dxa" w:w="388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Pipeline candidate site exploration (Potenziale status, 331 machines) for preliminary economic feasibility screening prior to on-site technical inspection dispatch.</w:t>
            </w:r>
          </w:p>
        </w:tc>
        <w:tc>
          <w:tcPr>
            <w:tcW w:type="dxa" w:w="216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Commercial Strategy &amp; Partnership Teams</w:t>
            </w:r>
          </w:p>
        </w:tc>
      </w:tr>
      <w:tr>
        <w:tc>
          <w:tcPr>
            <w:tcW w:type="dxa" w:w="115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Tab 4</w:t>
            </w:r>
          </w:p>
        </w:tc>
        <w:tc>
          <w:tcPr>
            <w:tcW w:type="dxa" w:w="259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 Outlier &amp; Defect Simulator</w:t>
            </w:r>
          </w:p>
        </w:tc>
        <w:tc>
          <w:tcPr>
            <w:tcW w:type="dxa" w:w="388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Continuous fleet intelligence auditing 1,849 machines in database with 10-option rule filtering, 2-year timeline outlier markers, and root-cause diagnostics.</w:t>
            </w:r>
          </w:p>
        </w:tc>
        <w:tc>
          <w:tcPr>
            <w:tcW w:type="dxa" w:w="216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Field Maintenance &amp; Data Governance Teams</w:t>
            </w:r>
          </w:p>
        </w:tc>
      </w:tr>
    </w:tbl>
    <w:p>
      <w:pPr>
        <w:spacing w:after="80"/>
      </w:pPr>
    </w:p>
    <w:p>
      <w:pPr>
        <w:pStyle w:val="Heading2"/>
        <w:keepNext/>
        <w:spacing w:before="280" w:after="80"/>
      </w:pPr>
      <w:r>
        <w:rPr>
          <w:rFonts w:ascii="Calibri" w:hAnsi="Calibri"/>
          <w:b/>
          <w:color w:val="198754"/>
          <w:sz w:val="26"/>
        </w:rPr>
        <w:t>1.1 Verified National Fleet Census &amp; Pipeline Breakdown</w:t>
      </w:r>
    </w:p>
    <w:p>
      <w:pPr>
        <w:spacing w:after="100" w:line="276" w:lineRule="auto"/>
      </w:pPr>
      <w:r>
        <w:rPr>
          <w:rFonts w:ascii="Calibri" w:hAnsi="Calibri"/>
          <w:color w:val="0F172A"/>
          <w:sz w:val="20"/>
        </w:rPr>
        <w:t>The Coripet intelligence architecture strictly filters and categorizes the national network into active operational installations and prospective candidate pipeline stages across Italy, removing all decommissioned or inactive machines: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48"/>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Fleet Census Metric</w:t>
            </w:r>
          </w:p>
        </w:tc>
        <w:tc>
          <w:tcPr>
            <w:tcW w:type="dxa" w:w="1584"/>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Exact Count</w:t>
            </w:r>
          </w:p>
        </w:tc>
        <w:tc>
          <w:tcPr>
            <w:tcW w:type="dxa" w:w="3312"/>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Database Scope &amp; Architectural Definition</w:t>
            </w:r>
          </w:p>
        </w:tc>
        <w:tc>
          <w:tcPr>
            <w:tcW w:type="dxa" w:w="2448"/>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Application &amp; Modeling Role</w:t>
            </w:r>
          </w:p>
        </w:tc>
      </w:tr>
      <w:tr>
        <w:tc>
          <w:tcPr>
            <w:tcW w:type="dxa" w:w="244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Active Installed Fleet (INSTALLAZIONI)</w:t>
            </w:r>
          </w:p>
        </w:tc>
        <w:tc>
          <w:tcPr>
            <w:tcW w:type="dxa" w:w="158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1,849 machines</w:t>
            </w:r>
          </w:p>
        </w:tc>
        <w:tc>
          <w:tcPr>
            <w:tcW w:type="dxa" w:w="331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Official Coripet active operational installation universe (PowerBI Installazioni baseline). Exactly 1,849 live, actively collecting RVMs operating across Italy (1,217 Cestone, 425 Cassonetto, 207 Sacco; 986 DAINT_G, 165 DAINT_A-bis, 19 DAINT_B-bis, 6 DAINT_B, 2 DAINT_A, Ripet C-Front/Bis).</w:t>
            </w:r>
          </w:p>
        </w:tc>
        <w:tc>
          <w:tcPr>
            <w:tcW w:type="dxa" w:w="244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Active commercial footprint and operational telemetry universe for fleet monitoring.</w:t>
            </w:r>
          </w:p>
        </w:tc>
      </w:tr>
      <w:tr>
        <w:tc>
          <w:tcPr>
            <w:tcW w:type="dxa" w:w="244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Certified AI Training Cohort</w:t>
            </w:r>
          </w:p>
        </w:tc>
        <w:tc>
          <w:tcPr>
            <w:tcW w:type="dxa" w:w="158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1,681 stores</w:t>
            </w:r>
          </w:p>
        </w:tc>
        <w:tc>
          <w:tcPr>
            <w:tcW w:type="dxa" w:w="331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1,481,324 certified daily collection records meeting 4-gate maturity rules (supermarket grocery retail, active installation, standard reward attribute, mature operating baseline &gt;= 90 days).</w:t>
            </w:r>
          </w:p>
        </w:tc>
        <w:tc>
          <w:tcPr>
            <w:tcW w:type="dxa" w:w="244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Authoritative baseline training and cross-validation population for MultiTaskRVMNet &amp; LightGBM.</w:t>
            </w:r>
          </w:p>
        </w:tc>
      </w:tr>
      <w:tr>
        <w:tc>
          <w:tcPr>
            <w:tcW w:type="dxa" w:w="244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Inspected Candidate Pipeline (SPL)</w:t>
            </w:r>
          </w:p>
        </w:tc>
        <w:tc>
          <w:tcPr>
            <w:tcW w:type="dxa" w:w="158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61 machines</w:t>
            </w:r>
          </w:p>
        </w:tc>
        <w:tc>
          <w:tcPr>
            <w:tcW w:type="dxa" w:w="331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Candidate supermarket store locations in Tab 2 with completed on-site technical inspection ('Sopralluogo Completato').</w:t>
            </w:r>
          </w:p>
        </w:tc>
        <w:tc>
          <w:tcPr>
            <w:tcW w:type="dxa" w:w="244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Immediate deployment decision, capital allocation, and underwriting handoff pipeline.</w:t>
            </w:r>
          </w:p>
        </w:tc>
      </w:tr>
      <w:tr>
        <w:tc>
          <w:tcPr>
            <w:tcW w:type="dxa" w:w="244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Prospective Candidate Pipeline (POT)</w:t>
            </w:r>
          </w:p>
        </w:tc>
        <w:tc>
          <w:tcPr>
            <w:tcW w:type="dxa" w:w="158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331 machines</w:t>
            </w:r>
          </w:p>
        </w:tc>
        <w:tc>
          <w:tcPr>
            <w:tcW w:type="dxa" w:w="331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Prospective candidate supermarket locations in Tab 3 undergoing preliminary feasibility screening ('Potenziale').</w:t>
            </w:r>
          </w:p>
        </w:tc>
        <w:tc>
          <w:tcPr>
            <w:tcW w:type="dxa" w:w="244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Early-stage commercial opportunity exploration and screening prior to field dispatch.</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792"/>
            <w:shd w:fill="f0fdf4"/>
            <w:tcMar>
              <w:top w:w="130" w:type="dxa"/>
              <w:bottom w:w="130" w:type="dxa"/>
              <w:left w:w="180" w:type="dxa"/>
              <w:right w:w="160" w:type="dxa"/>
            </w:tcMar>
            <w:tcBorders>
              <w:top w:sz="4" w:val="single" w:color="cbd5e1"/>
              <w:left w:sz="24" w:val="single" w:color="198754"/>
              <w:bottom w:sz="4" w:val="single" w:color="cbd5e1"/>
              <w:right w:sz="4" w:val="single" w:color="cbd5e1"/>
            </w:tcBorders>
          </w:tcPr>
          <w:p>
            <w:pPr>
              <w:spacing w:before="40" w:after="40" w:line="276" w:lineRule="auto"/>
            </w:pPr>
            <w:r>
              <w:rPr>
                <w:rFonts w:ascii="Calibri" w:hAnsi="Calibri"/>
                <w:b/>
                <w:color w:val="0F5132"/>
                <w:sz w:val="20"/>
              </w:rPr>
              <w:t xml:space="preserve">📌 ACTIVE FLEET &amp; PIPELINE CENSUS CERTIFICATION: </w:t>
            </w:r>
            <w:r>
              <w:rPr>
                <w:rFonts w:ascii="Calibri" w:hAnsi="Calibri"/>
                <w:color w:val="0F172A"/>
                <w:sz w:val="19"/>
              </w:rPr>
              <w:t>The operational network consists strictly of 1,849 active installed machines across Italy, directly matching Coripet's official PowerBI Installazioni dashboard. All decommissioned, inactive, or removed machines have been purged from the active operational scope. For predictive machine learning modeling, exactly 1,681 mature active stores satisfy all 4 certification gates (PUNTOVENDITA retail classification, active status, standard reward attribute, and &gt;= 90-day post-activation maturity). Candidate uninstalled locations are tracked separately in the SPL (61 inspected) and POT (331 prospective) development pipelines.</w:t>
            </w:r>
          </w:p>
        </w:tc>
      </w:tr>
    </w:tbl>
    <w:p>
      <w:pPr>
        <w:spacing w:after="80"/>
      </w:pPr>
    </w:p>
    <w:p>
      <w:pPr>
        <w:pStyle w:val="Heading1"/>
        <w:keepNext/>
        <w:spacing w:before="360" w:after="120"/>
      </w:pPr>
      <w:r>
        <w:rPr>
          <w:rFonts w:ascii="Calibri" w:hAnsi="Calibri"/>
          <w:b/>
          <w:color w:val="0F5132"/>
          <w:sz w:val="32"/>
        </w:rPr>
        <w:t>2. Tab 1: Guided 3-Step Prospective Analysis Wizard</w:t>
      </w:r>
    </w:p>
    <w:p>
      <w:pPr>
        <w:spacing w:after="100" w:line="276" w:lineRule="auto"/>
      </w:pPr>
      <w:r>
        <w:rPr>
          <w:rFonts w:ascii="Calibri" w:hAnsi="Calibri"/>
          <w:color w:val="0F172A"/>
          <w:sz w:val="20"/>
        </w:rPr>
        <w:t>The Prospective Predictor utilizes a 3-step guided wizard located in the left sidebar to collect site information, resolve census data, auto-detect commercial reward agreements, and underwrite prospective machine collection volume. Machine model selection has been deliberately removed from Step 1 inputs because the system evaluates all four certified hardware models simultaneously in the Step 4 Results Dashboard.</w:t>
      </w:r>
    </w:p>
    <w:p>
      <w:pPr>
        <w:pStyle w:val="Heading2"/>
        <w:keepNext/>
        <w:spacing w:before="280" w:after="80"/>
      </w:pPr>
      <w:r>
        <w:rPr>
          <w:rFonts w:ascii="Calibri" w:hAnsi="Calibri"/>
          <w:b/>
          <w:color w:val="198754"/>
          <w:sz w:val="26"/>
        </w:rPr>
        <w:t>2.1 Step 1: Location &amp; Site Setup</w:t>
      </w:r>
    </w:p>
    <w:p>
      <w:pPr>
        <w:spacing w:after="100" w:line="276" w:lineRule="auto"/>
      </w:pPr>
      <w:r>
        <w:rPr>
          <w:rFonts w:ascii="Calibri" w:hAnsi="Calibri"/>
          <w:color w:val="0F172A"/>
          <w:sz w:val="20"/>
        </w:rPr>
        <w:t>Step 1 captures the minimal geographic and brand information required to identify the prospective retail site:</w:t>
      </w:r>
    </w:p>
    <w:p>
      <w:pPr>
        <w:pStyle w:val="ListBullet"/>
        <w:spacing w:after="60" w:line="276" w:lineRule="auto"/>
      </w:pPr>
      <w:r>
        <w:rPr>
          <w:rFonts w:ascii="Calibri" w:hAnsi="Calibri"/>
          <w:b/>
          <w:color w:val="0F172A"/>
          <w:sz w:val="20"/>
        </w:rPr>
        <w:t xml:space="preserve">• Store Name / Insegna: </w:t>
      </w:r>
      <w:r>
        <w:rPr>
          <w:rFonts w:ascii="Calibri" w:hAnsi="Calibri"/>
          <w:color w:val="0F172A"/>
          <w:sz w:val="20"/>
        </w:rPr>
        <w:t>Offers two operational modes: (1) Select from official Coripet directory with intelligent autocomplete, or (2) Click '➕ Custom' to enter a custom supermarket brand (e.g., 'Esselunga', 'Decò', 'Ipercoop').</w:t>
      </w:r>
    </w:p>
    <w:p>
      <w:pPr>
        <w:pStyle w:val="ListBullet"/>
        <w:spacing w:after="60" w:line="276" w:lineRule="auto"/>
      </w:pPr>
      <w:r>
        <w:rPr>
          <w:rFonts w:ascii="Calibri" w:hAnsi="Calibri"/>
          <w:b/>
          <w:color w:val="0F172A"/>
          <w:sz w:val="20"/>
        </w:rPr>
        <w:t xml:space="preserve">• Street Address: </w:t>
      </w:r>
      <w:r>
        <w:rPr>
          <w:rFonts w:ascii="Calibri" w:hAnsi="Calibri"/>
          <w:color w:val="0F172A"/>
          <w:sz w:val="20"/>
        </w:rPr>
        <w:t>Physical street address of the retail facility (e.g., 'Via delle Forze Armate 12', 'Via Emilia Ponente 140').</w:t>
      </w:r>
    </w:p>
    <w:p>
      <w:pPr>
        <w:pStyle w:val="ListBullet"/>
        <w:spacing w:after="60" w:line="276" w:lineRule="auto"/>
      </w:pPr>
      <w:r>
        <w:rPr>
          <w:rFonts w:ascii="Calibri" w:hAnsi="Calibri"/>
          <w:b/>
          <w:color w:val="0F172A"/>
          <w:sz w:val="20"/>
        </w:rPr>
        <w:t xml:space="preserve">• Postal Code (CAP): </w:t>
      </w:r>
      <w:r>
        <w:rPr>
          <w:rFonts w:ascii="Calibri" w:hAnsi="Calibri"/>
          <w:color w:val="0F172A"/>
          <w:sz w:val="20"/>
        </w:rPr>
        <w:t>Official 5-digit numeric Italian postal code (e.g., '20124', '40133', '80121'). Validated to prevent invalid non-numeric submissions.</w:t>
      </w:r>
    </w:p>
    <w:p>
      <w:pPr>
        <w:pStyle w:val="ListBullet"/>
        <w:spacing w:after="60" w:line="276" w:lineRule="auto"/>
      </w:pPr>
      <w:r>
        <w:rPr>
          <w:rFonts w:ascii="Calibri" w:hAnsi="Calibri"/>
          <w:b/>
          <w:color w:val="0F172A"/>
          <w:sz w:val="20"/>
        </w:rPr>
        <w:t xml:space="preserve">• Municipality (Comune): </w:t>
      </w:r>
      <w:r>
        <w:rPr>
          <w:rFonts w:ascii="Calibri" w:hAnsi="Calibri"/>
          <w:color w:val="0F172A"/>
          <w:sz w:val="20"/>
        </w:rPr>
        <w:t>Italian municipality name (e.g., 'Milano', 'Busto Arsizio', 'Napoli').</w:t>
      </w:r>
    </w:p>
    <w:p>
      <w:pPr>
        <w:pStyle w:val="ListBullet"/>
        <w:spacing w:after="60" w:line="276" w:lineRule="auto"/>
      </w:pPr>
      <w:r>
        <w:rPr>
          <w:rFonts w:ascii="Calibri" w:hAnsi="Calibri"/>
          <w:b/>
          <w:color w:val="0F172A"/>
          <w:sz w:val="20"/>
        </w:rPr>
        <w:t xml:space="preserve">• '🔍 Step 1: Detect Location &amp; Nielsen Scale' Button: </w:t>
      </w:r>
      <w:r>
        <w:rPr>
          <w:rFonts w:ascii="Calibri" w:hAnsi="Calibri"/>
          <w:color w:val="0F172A"/>
          <w:sz w:val="20"/>
        </w:rPr>
        <w:t>Initiates spatial geocoding, ISTAT demographic join, and Nielsen store scale matching, transitioning the user to Step 2.</w:t>
      </w:r>
    </w:p>
    <w:p>
      <w:pPr>
        <w:pStyle w:val="Heading2"/>
        <w:keepNext/>
        <w:spacing w:before="280" w:after="80"/>
      </w:pPr>
      <w:r>
        <w:rPr>
          <w:rFonts w:ascii="Calibri" w:hAnsi="Calibri"/>
          <w:b/>
          <w:color w:val="198754"/>
          <w:sz w:val="26"/>
        </w:rPr>
        <w:t>2.2 Step 2: Store Scale &amp; Nielsen Census Confirmation</w:t>
      </w:r>
    </w:p>
    <w:p>
      <w:pPr>
        <w:spacing w:after="100" w:line="276" w:lineRule="auto"/>
      </w:pPr>
      <w:r>
        <w:rPr>
          <w:rFonts w:ascii="Calibri" w:hAnsi="Calibri"/>
          <w:color w:val="0F172A"/>
          <w:sz w:val="20"/>
        </w:rPr>
        <w:t>Step 2 connects to the Nielsen Store Universe of 25,104 Italian grocery stores to establish physical retail scale. The system displays one of two verified states:</w:t>
      </w:r>
    </w:p>
    <w:p>
      <w:pPr>
        <w:pStyle w:val="ListBullet"/>
        <w:spacing w:after="60" w:line="276" w:lineRule="auto"/>
      </w:pPr>
      <w:r>
        <w:rPr>
          <w:rFonts w:ascii="Calibri" w:hAnsi="Calibri"/>
          <w:b/>
          <w:color w:val="0F172A"/>
          <w:sz w:val="20"/>
        </w:rPr>
        <w:t xml:space="preserve">• Exact Nielsen Census Match [Verified]: </w:t>
      </w:r>
      <w:r>
        <w:rPr>
          <w:rFonts w:ascii="Calibri" w:hAnsi="Calibri"/>
          <w:color w:val="0F172A"/>
          <w:sz w:val="20"/>
        </w:rPr>
        <w:t>Displays a green confirmation banner showing census store name, sales square meters (m²), checkout count, and store format. The operator can accept verified census values or adjust them.</w:t>
      </w:r>
    </w:p>
    <w:p>
      <w:pPr>
        <w:pStyle w:val="ListBullet"/>
        <w:spacing w:after="60" w:line="276" w:lineRule="auto"/>
      </w:pPr>
      <w:r>
        <w:rPr>
          <w:rFonts w:ascii="Calibri" w:hAnsi="Calibri"/>
          <w:b/>
          <w:color w:val="0F172A"/>
          <w:sz w:val="20"/>
        </w:rPr>
        <w:t xml:space="preserve">• No Exact Match (Manual Archetype Selection): </w:t>
      </w:r>
      <w:r>
        <w:rPr>
          <w:rFonts w:ascii="Calibri" w:hAnsi="Calibri"/>
          <w:color w:val="0F172A"/>
          <w:sz w:val="20"/>
        </w:rPr>
        <w:t>Displays an amber advisory indicating the store was not found in the census. The operator selects a standard archetype or enters Custom sales area (m²) and checkouts (casse).</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592"/>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Store Format / Profile</w:t>
            </w:r>
          </w:p>
        </w:tc>
        <w:tc>
          <w:tcPr>
            <w:tcW w:type="dxa" w:w="1296"/>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Format Code</w:t>
            </w:r>
          </w:p>
        </w:tc>
        <w:tc>
          <w:tcPr>
            <w:tcW w:type="dxa" w:w="2016"/>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Sales Floor Area (m²)</w:t>
            </w:r>
          </w:p>
        </w:tc>
        <w:tc>
          <w:tcPr>
            <w:tcW w:type="dxa" w:w="1584"/>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Active Checkouts</w:t>
            </w:r>
          </w:p>
        </w:tc>
        <w:tc>
          <w:tcPr>
            <w:tcW w:type="dxa" w:w="2304"/>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Representative Retail Banners</w:t>
            </w:r>
          </w:p>
        </w:tc>
      </w:tr>
      <w:tr>
        <w:tc>
          <w:tcPr>
            <w:tcW w:type="dxa" w:w="259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1: Small Supermarket / Proximity</w:t>
            </w:r>
          </w:p>
        </w:tc>
        <w:tc>
          <w:tcPr>
            <w:tcW w:type="dxa" w:w="129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LIS / VIC</w:t>
            </w:r>
          </w:p>
        </w:tc>
        <w:tc>
          <w:tcPr>
            <w:tcW w:type="dxa" w:w="201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350 m²</w:t>
            </w:r>
          </w:p>
        </w:tc>
        <w:tc>
          <w:tcPr>
            <w:tcW w:type="dxa" w:w="158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2 Casse</w:t>
            </w:r>
          </w:p>
        </w:tc>
        <w:tc>
          <w:tcPr>
            <w:tcW w:type="dxa" w:w="230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Carrefour Express, Conad City, Crai Local, Coop Voce</w:t>
            </w:r>
          </w:p>
        </w:tc>
      </w:tr>
      <w:tr>
        <w:tc>
          <w:tcPr>
            <w:tcW w:type="dxa" w:w="259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2: Standard Supermarket</w:t>
            </w:r>
          </w:p>
        </w:tc>
        <w:tc>
          <w:tcPr>
            <w:tcW w:type="dxa" w:w="129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SUP</w:t>
            </w:r>
          </w:p>
        </w:tc>
        <w:tc>
          <w:tcPr>
            <w:tcW w:type="dxa" w:w="201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750 m²</w:t>
            </w:r>
          </w:p>
        </w:tc>
        <w:tc>
          <w:tcPr>
            <w:tcW w:type="dxa" w:w="158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4 Casse</w:t>
            </w:r>
          </w:p>
        </w:tc>
        <w:tc>
          <w:tcPr>
            <w:tcW w:type="dxa" w:w="230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Conad, Coop, Despar, Tigros, Sigma, Pam</w:t>
            </w:r>
          </w:p>
        </w:tc>
      </w:tr>
      <w:tr>
        <w:tc>
          <w:tcPr>
            <w:tcW w:type="dxa" w:w="259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3: Superstore / Large Supermarket</w:t>
            </w:r>
          </w:p>
        </w:tc>
        <w:tc>
          <w:tcPr>
            <w:tcW w:type="dxa" w:w="129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SUP</w:t>
            </w:r>
          </w:p>
        </w:tc>
        <w:tc>
          <w:tcPr>
            <w:tcW w:type="dxa" w:w="201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1,850 m²</w:t>
            </w:r>
          </w:p>
        </w:tc>
        <w:tc>
          <w:tcPr>
            <w:tcW w:type="dxa" w:w="158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9 Casse</w:t>
            </w:r>
          </w:p>
        </w:tc>
        <w:tc>
          <w:tcPr>
            <w:tcW w:type="dxa" w:w="230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Esselunga, Conad Superstore, Famila Superstore</w:t>
            </w:r>
          </w:p>
        </w:tc>
      </w:tr>
      <w:tr>
        <w:tc>
          <w:tcPr>
            <w:tcW w:type="dxa" w:w="259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4: Hypermarket / Mall Anchor</w:t>
            </w:r>
          </w:p>
        </w:tc>
        <w:tc>
          <w:tcPr>
            <w:tcW w:type="dxa" w:w="129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IPER</w:t>
            </w:r>
          </w:p>
        </w:tc>
        <w:tc>
          <w:tcPr>
            <w:tcW w:type="dxa" w:w="201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3,750 m²</w:t>
            </w:r>
          </w:p>
        </w:tc>
        <w:tc>
          <w:tcPr>
            <w:tcW w:type="dxa" w:w="158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21 Casse</w:t>
            </w:r>
          </w:p>
        </w:tc>
        <w:tc>
          <w:tcPr>
            <w:tcW w:type="dxa" w:w="230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Ipercoop, Spazio Conad, Carrefour Iper, Il Gigante</w:t>
            </w:r>
          </w:p>
        </w:tc>
      </w:tr>
      <w:tr>
        <w:tc>
          <w:tcPr>
            <w:tcW w:type="dxa" w:w="259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5: Discount Store</w:t>
            </w:r>
          </w:p>
        </w:tc>
        <w:tc>
          <w:tcPr>
            <w:tcW w:type="dxa" w:w="129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DIS</w:t>
            </w:r>
          </w:p>
        </w:tc>
        <w:tc>
          <w:tcPr>
            <w:tcW w:type="dxa" w:w="201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750 m²</w:t>
            </w:r>
          </w:p>
        </w:tc>
        <w:tc>
          <w:tcPr>
            <w:tcW w:type="dxa" w:w="158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4 Casse</w:t>
            </w:r>
          </w:p>
        </w:tc>
        <w:tc>
          <w:tcPr>
            <w:tcW w:type="dxa" w:w="230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Eurospin, Lidl, MD, Penny Market, ALDI</w:t>
            </w:r>
          </w:p>
        </w:tc>
      </w:tr>
      <w:tr>
        <w:tc>
          <w:tcPr>
            <w:tcW w:type="dxa" w:w="259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Custom Retail Footprint</w:t>
            </w:r>
          </w:p>
        </w:tc>
        <w:tc>
          <w:tcPr>
            <w:tcW w:type="dxa" w:w="129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custom</w:t>
            </w:r>
          </w:p>
        </w:tc>
        <w:tc>
          <w:tcPr>
            <w:tcW w:type="dxa" w:w="201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50 – 25,000 m² (user entered)</w:t>
            </w:r>
          </w:p>
        </w:tc>
        <w:tc>
          <w:tcPr>
            <w:tcW w:type="dxa" w:w="158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1 – 100 Casse (user entered)</w:t>
            </w:r>
          </w:p>
        </w:tc>
        <w:tc>
          <w:tcPr>
            <w:tcW w:type="dxa" w:w="230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Flagship stores, mixed-use transit hubs, multi-level retail</w:t>
            </w:r>
          </w:p>
        </w:tc>
      </w:tr>
    </w:tbl>
    <w:p>
      <w:pPr>
        <w:spacing w:after="80"/>
      </w:pPr>
    </w:p>
    <w:p>
      <w:pPr>
        <w:pStyle w:val="ListBullet"/>
        <w:spacing w:after="60" w:line="276" w:lineRule="auto"/>
      </w:pPr>
      <w:r>
        <w:rPr>
          <w:rFonts w:ascii="Calibri" w:hAnsi="Calibri"/>
          <w:b/>
          <w:color w:val="0F172A"/>
          <w:sz w:val="20"/>
        </w:rPr>
        <w:t xml:space="preserve">• '➡️ Step 2: Confirm Scale &amp; Fetch Rewards' Button: </w:t>
      </w:r>
      <w:r>
        <w:rPr>
          <w:rFonts w:ascii="Calibri" w:hAnsi="Calibri"/>
          <w:color w:val="0F172A"/>
          <w:sz w:val="20"/>
        </w:rPr>
        <w:t>Locks in sales area and checkouts, auto-detects commercial reward contracts, and advances to Step 3.</w:t>
      </w:r>
    </w:p>
    <w:p>
      <w:pPr>
        <w:pStyle w:val="Heading2"/>
        <w:keepNext/>
        <w:spacing w:before="280" w:after="80"/>
      </w:pPr>
      <w:r>
        <w:rPr>
          <w:rFonts w:ascii="Calibri" w:hAnsi="Calibri"/>
          <w:b/>
          <w:color w:val="198754"/>
          <w:sz w:val="26"/>
        </w:rPr>
        <w:t>2.3 Step 3: Commercial Rewards Policy &amp; Go-Live Scheduling</w:t>
      </w:r>
    </w:p>
    <w:p>
      <w:pPr>
        <w:spacing w:after="100" w:line="276" w:lineRule="auto"/>
      </w:pPr>
      <w:r>
        <w:rPr>
          <w:rFonts w:ascii="Calibri" w:hAnsi="Calibri"/>
          <w:color w:val="0F172A"/>
          <w:sz w:val="20"/>
        </w:rPr>
        <w:t>Step 3 resolves the commercial partnership and customer incentive agreement between Coripet and the supermarket chain. The system displays the auto-detected circuit (Filiera), incentive scheme, typical promotional voucher rule, and incentive tier. The user can keep the auto-detected contract or select an alternative commercial policy:</w:t>
      </w:r>
    </w:p>
    <w:p>
      <w:pPr>
        <w:pStyle w:val="ListBullet"/>
        <w:spacing w:after="60" w:line="276" w:lineRule="auto"/>
      </w:pPr>
      <w:r>
        <w:rPr>
          <w:rFonts w:ascii="Calibri" w:hAnsi="Calibri"/>
          <w:b/>
          <w:color w:val="0F172A"/>
          <w:sz w:val="20"/>
        </w:rPr>
        <w:t xml:space="preserve">1. Conversione a punti fedeltà: </w:t>
      </w:r>
      <w:r>
        <w:rPr>
          <w:rFonts w:ascii="Calibri" w:hAnsi="Calibri"/>
          <w:color w:val="0F172A"/>
          <w:sz w:val="20"/>
        </w:rPr>
        <w:t>Converts Coripet points into store loyalty card points (Punti Spesa / Carta Socio). Yields highest recurring habituation (1.35x–1.45x footfall multiplier).</w:t>
      </w:r>
    </w:p>
    <w:p>
      <w:pPr>
        <w:pStyle w:val="ListBullet"/>
        <w:spacing w:after="60" w:line="276" w:lineRule="auto"/>
      </w:pPr>
      <w:r>
        <w:rPr>
          <w:rFonts w:ascii="Calibri" w:hAnsi="Calibri"/>
          <w:b/>
          <w:color w:val="0F172A"/>
          <w:sz w:val="20"/>
        </w:rPr>
        <w:t xml:space="preserve">2. Emissione Buono sconto: </w:t>
      </w:r>
      <w:r>
        <w:rPr>
          <w:rFonts w:ascii="Calibri" w:hAnsi="Calibri"/>
          <w:color w:val="0F172A"/>
          <w:sz w:val="20"/>
        </w:rPr>
        <w:t>Direct supermarket checkout discount (e.g., €3 discount on €25 minimum spend per 200 bottles). Standard national supermarket incentive (1.15x–1.25x volume multiplier).</w:t>
      </w:r>
    </w:p>
    <w:p>
      <w:pPr>
        <w:pStyle w:val="ListBullet"/>
        <w:spacing w:after="60" w:line="276" w:lineRule="auto"/>
      </w:pPr>
      <w:r>
        <w:rPr>
          <w:rFonts w:ascii="Calibri" w:hAnsi="Calibri"/>
          <w:b/>
          <w:color w:val="0F172A"/>
          <w:sz w:val="20"/>
        </w:rPr>
        <w:t xml:space="preserve">3. Omaggio (Free Gift / Direct Voucher): </w:t>
      </w:r>
      <w:r>
        <w:rPr>
          <w:rFonts w:ascii="Calibri" w:hAnsi="Calibri"/>
          <w:color w:val="0F172A"/>
          <w:sz w:val="20"/>
        </w:rPr>
        <w:t>Direct promotional gift or cash prize with no minimum spend required. High promotional excitement (1.10x–1.18x multiplier).</w:t>
      </w:r>
    </w:p>
    <w:p>
      <w:pPr>
        <w:pStyle w:val="ListBullet"/>
        <w:spacing w:after="60" w:line="276" w:lineRule="auto"/>
      </w:pPr>
      <w:r>
        <w:rPr>
          <w:rFonts w:ascii="Calibri" w:hAnsi="Calibri"/>
          <w:b/>
          <w:color w:val="0F172A"/>
          <w:sz w:val="20"/>
        </w:rPr>
        <w:t xml:space="preserve">4. 🛠️ Custom Reward Policy: </w:t>
      </w:r>
      <w:r>
        <w:rPr>
          <w:rFonts w:ascii="Calibri" w:hAnsi="Calibri"/>
          <w:color w:val="0F172A"/>
          <w:sz w:val="20"/>
        </w:rPr>
        <w:t>Enables precise custom parameter configuration: discount amount (€), minimum checkout spend (€), points/bottles required, and base scheme archetype.</w:t>
      </w:r>
    </w:p>
    <w:p>
      <w:pPr>
        <w:spacing w:after="100" w:line="276" w:lineRule="auto"/>
      </w:pPr>
      <w:r>
        <w:rPr>
          <w:rFonts w:ascii="Calibri" w:hAnsi="Calibri"/>
          <w:color w:val="0F172A"/>
          <w:sz w:val="20"/>
        </w:rPr>
        <w:t>Step 3 also includes an expandable Go-Live Scheduling tool that allows underwriters to select the Planned Go-Live Month (January through December), Go-Live Year (2026, 2027, 2028), and toggle the 'Include 3-Month Adoption Ramp-Up' checkbox (modeling Month 1-3 customer discovery and Coripet app onboarding).</w:t>
      </w:r>
    </w:p>
    <w:p>
      <w:pPr>
        <w:pStyle w:val="ListBullet"/>
        <w:spacing w:after="60" w:line="276" w:lineRule="auto"/>
      </w:pPr>
      <w:r>
        <w:rPr>
          <w:rFonts w:ascii="Calibri" w:hAnsi="Calibri"/>
          <w:b/>
          <w:color w:val="0F172A"/>
          <w:sz w:val="20"/>
        </w:rPr>
        <w:t xml:space="preserve">• '🚀 Step 3: Run Full Prediction Analysis' Button: </w:t>
      </w:r>
      <w:r>
        <w:rPr>
          <w:rFonts w:ascii="Calibri" w:hAnsi="Calibri"/>
          <w:color w:val="0F172A"/>
          <w:sz w:val="20"/>
        </w:rPr>
        <w:t>Executes the full end-to-end multi-layer evaluation pipeline and opens Step 4 in the main dashboard.</w:t>
      </w:r>
    </w:p>
    <w:p>
      <w:pPr>
        <w:pStyle w:val="Heading1"/>
        <w:keepNext/>
        <w:spacing w:before="360" w:after="120"/>
      </w:pPr>
      <w:r>
        <w:rPr>
          <w:rFonts w:ascii="Calibri" w:hAnsi="Calibri"/>
          <w:b/>
          <w:color w:val="0F5132"/>
          <w:sz w:val="32"/>
        </w:rPr>
        <w:t>3. Tab 1: Step 4 Live Results Dashboard Structure</w:t>
      </w:r>
    </w:p>
    <w:p>
      <w:pPr>
        <w:spacing w:after="100" w:line="276" w:lineRule="auto"/>
      </w:pPr>
      <w:r>
        <w:rPr>
          <w:rFonts w:ascii="Calibri" w:hAnsi="Calibri"/>
          <w:color w:val="0F172A"/>
          <w:sz w:val="20"/>
        </w:rPr>
        <w:t>Upon running an analysis (or clicking 'Results 📊' on any candidate site), the main screen transitions to the Step 4 Live Dashboard. The layout consists of structured executive sections:</w:t>
      </w:r>
    </w:p>
    <w:p>
      <w:pPr>
        <w:pStyle w:val="Heading2"/>
        <w:keepNext/>
        <w:spacing w:before="280" w:after="80"/>
      </w:pPr>
      <w:r>
        <w:rPr>
          <w:rFonts w:ascii="Calibri" w:hAnsi="Calibri"/>
          <w:b/>
          <w:color w:val="198754"/>
          <w:sz w:val="26"/>
        </w:rPr>
        <w:t>3.1 Interactive Top Scenario Switchers</w:t>
      </w:r>
    </w:p>
    <w:p>
      <w:pPr>
        <w:spacing w:after="100" w:line="276" w:lineRule="auto"/>
      </w:pPr>
      <w:r>
        <w:rPr>
          <w:rFonts w:ascii="Calibri" w:hAnsi="Calibri"/>
          <w:color w:val="0F172A"/>
          <w:sz w:val="20"/>
        </w:rPr>
        <w:t>Positioned at the very top of Step 4 are two interactive dropdown switchers that allow instant scenario recalculation without resetting the wizard:</w:t>
      </w:r>
    </w:p>
    <w:p>
      <w:pPr>
        <w:pStyle w:val="ListBullet"/>
        <w:spacing w:after="60" w:line="276" w:lineRule="auto"/>
      </w:pPr>
      <w:r>
        <w:rPr>
          <w:rFonts w:ascii="Calibri" w:hAnsi="Calibri"/>
          <w:b/>
          <w:color w:val="0F172A"/>
          <w:sz w:val="20"/>
        </w:rPr>
        <w:t xml:space="preserve">• ⚙️ Active Machine Model (Option Split): </w:t>
      </w:r>
      <w:r>
        <w:rPr>
          <w:rFonts w:ascii="Calibri" w:hAnsi="Calibri"/>
          <w:color w:val="0F172A"/>
          <w:sz w:val="20"/>
        </w:rPr>
        <w:t>Allows switching the active view among the 4 certified models (Daint A-bis, Daint B-Bis, Daint G, Ripet C-Front). Recalculates utilization, overflow risk, and logistics rhythm.</w:t>
      </w:r>
    </w:p>
    <w:p>
      <w:pPr>
        <w:pStyle w:val="ListBullet"/>
        <w:spacing w:after="60" w:line="276" w:lineRule="auto"/>
      </w:pPr>
      <w:r>
        <w:rPr>
          <w:rFonts w:ascii="Calibri" w:hAnsi="Calibri"/>
          <w:b/>
          <w:color w:val="0F172A"/>
          <w:sz w:val="20"/>
        </w:rPr>
        <w:t xml:space="preserve">• 🎁 Commercial Reward Scheme: </w:t>
      </w:r>
      <w:r>
        <w:rPr>
          <w:rFonts w:ascii="Calibri" w:hAnsi="Calibri"/>
          <w:color w:val="0F172A"/>
          <w:sz w:val="20"/>
        </w:rPr>
        <w:t>Allows switching between Auto-Detected Filiera promotion, Direct Grocery Voucher, Store Loyalty Points, Free Gift, or Custom User-Defined Policy. Updates volume and footfall immediately.</w:t>
      </w:r>
    </w:p>
    <w:p>
      <w:pPr>
        <w:pStyle w:val="Heading2"/>
        <w:keepNext/>
        <w:spacing w:before="280" w:after="80"/>
      </w:pPr>
      <w:r>
        <w:rPr>
          <w:rFonts w:ascii="Calibri" w:hAnsi="Calibri"/>
          <w:b/>
          <w:color w:val="198754"/>
          <w:sz w:val="26"/>
        </w:rPr>
        <w:t>3.2 Certified Hardware Sizing &amp; Capacity Split (All 4 Models Table)</w:t>
      </w:r>
    </w:p>
    <w:p>
      <w:pPr>
        <w:spacing w:after="100" w:line="276" w:lineRule="auto"/>
      </w:pPr>
      <w:r>
        <w:rPr>
          <w:rFonts w:ascii="Calibri" w:hAnsi="Calibri"/>
          <w:color w:val="0F172A"/>
          <w:sz w:val="20"/>
        </w:rPr>
        <w:t>Rather than forcing the user to re-run simulations for each machine, the dashboard renders a comparative split matrix evaluating all four recognized Coripet machines simultaneously for the target location:</w:t>
      </w:r>
    </w:p>
    <w:tbl>
      <w:tblPr>
        <w:tblW w:type="auto" w:w="0"/>
        <w:jc w:val="center"/>
        <w:tblLayout w:type="fixed"/>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584"/>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Machine Model</w:t>
            </w:r>
          </w:p>
        </w:tc>
        <w:tc>
          <w:tcPr>
            <w:tcW w:type="dxa" w:w="2016"/>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Hardware Class</w:t>
            </w:r>
          </w:p>
        </w:tc>
        <w:tc>
          <w:tcPr>
            <w:tcW w:type="dxa" w:w="1296"/>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Bin Storage</w:t>
            </w:r>
          </w:p>
        </w:tc>
        <w:tc>
          <w:tcPr>
            <w:tcW w:type="dxa" w:w="1008"/>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Daily Vol</w:t>
            </w:r>
          </w:p>
        </w:tc>
        <w:tc>
          <w:tcPr>
            <w:tcW w:type="dxa" w:w="1008"/>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Monthly Vol</w:t>
            </w:r>
          </w:p>
        </w:tc>
        <w:tc>
          <w:tcPr>
            <w:tcW w:type="dxa" w:w="720"/>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Util. %</w:t>
            </w:r>
          </w:p>
        </w:tc>
        <w:tc>
          <w:tcPr>
            <w:tcW w:type="dxa" w:w="1584"/>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Sizing Verdict</w:t>
            </w:r>
          </w:p>
        </w:tc>
        <w:tc>
          <w:tcPr>
            <w:tcW w:type="dxa" w:w="864"/>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Service</w:t>
            </w:r>
          </w:p>
        </w:tc>
        <w:tc>
          <w:tcPr>
            <w:tcW w:type="dxa" w:w="1152"/>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Status Chip</w:t>
            </w:r>
          </w:p>
        </w:tc>
      </w:tr>
      <w:tr>
        <w:tc>
          <w:tcPr>
            <w:tcW w:type="dxa" w:w="158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Daint A-bis</w:t>
            </w:r>
          </w:p>
        </w:tc>
        <w:tc>
          <w:tcPr>
            <w:tcW w:type="dxa" w:w="201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Compact (Single-Stream)</w:t>
            </w:r>
          </w:p>
        </w:tc>
        <w:tc>
          <w:tcPr>
            <w:tcW w:type="dxa" w:w="129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300 b/d (~8 kg)</w:t>
            </w:r>
          </w:p>
        </w:tc>
        <w:tc>
          <w:tcPr>
            <w:tcW w:type="dxa" w:w="100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Realized b/d</w:t>
            </w:r>
          </w:p>
        </w:tc>
        <w:tc>
          <w:tcPr>
            <w:tcW w:type="dxa" w:w="100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Daily x 30.4</w:t>
            </w:r>
          </w:p>
        </w:tc>
        <w:tc>
          <w:tcPr>
            <w:tcW w:type="dxa" w:w="72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Daily / 300</w:t>
            </w:r>
          </w:p>
        </w:tc>
        <w:tc>
          <w:tcPr>
            <w:tcW w:type="dxa" w:w="158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 Overload OR ✅ Optimal</w:t>
            </w:r>
          </w:p>
        </w:tc>
        <w:tc>
          <w:tcPr>
            <w:tcW w:type="dxa" w:w="86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Daily</w:t>
            </w:r>
          </w:p>
        </w:tc>
        <w:tc>
          <w:tcPr>
            <w:tcW w:type="dxa" w:w="115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Available / INSTALLED</w:t>
            </w:r>
          </w:p>
        </w:tc>
      </w:tr>
      <w:tr>
        <w:tc>
          <w:tcPr>
            <w:tcW w:type="dxa" w:w="158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Daint B-Bis</w:t>
            </w:r>
          </w:p>
        </w:tc>
        <w:tc>
          <w:tcPr>
            <w:tcW w:type="dxa" w:w="201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Compact (Dual-Stream)</w:t>
            </w:r>
          </w:p>
        </w:tc>
        <w:tc>
          <w:tcPr>
            <w:tcW w:type="dxa" w:w="129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500 b/d (~14 kg)</w:t>
            </w:r>
          </w:p>
        </w:tc>
        <w:tc>
          <w:tcPr>
            <w:tcW w:type="dxa" w:w="100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Realized b/d</w:t>
            </w:r>
          </w:p>
        </w:tc>
        <w:tc>
          <w:tcPr>
            <w:tcW w:type="dxa" w:w="100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Daily x 30.4</w:t>
            </w:r>
          </w:p>
        </w:tc>
        <w:tc>
          <w:tcPr>
            <w:tcW w:type="dxa" w:w="72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Daily / 500</w:t>
            </w:r>
          </w:p>
        </w:tc>
        <w:tc>
          <w:tcPr>
            <w:tcW w:type="dxa" w:w="158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 Overload OR ✅ Optimal</w:t>
            </w:r>
          </w:p>
        </w:tc>
        <w:tc>
          <w:tcPr>
            <w:tcW w:type="dxa" w:w="86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Twice/Wk</w:t>
            </w:r>
          </w:p>
        </w:tc>
        <w:tc>
          <w:tcPr>
            <w:tcW w:type="dxa" w:w="115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Available / INSTALLED</w:t>
            </w:r>
          </w:p>
        </w:tc>
      </w:tr>
      <w:tr>
        <w:tc>
          <w:tcPr>
            <w:tcW w:type="dxa" w:w="158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Daint G</w:t>
            </w:r>
          </w:p>
        </w:tc>
        <w:tc>
          <w:tcPr>
            <w:tcW w:type="dxa" w:w="201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Heavy-Duty (Dual-Stream)</w:t>
            </w:r>
          </w:p>
        </w:tc>
        <w:tc>
          <w:tcPr>
            <w:tcW w:type="dxa" w:w="129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4,500 b/d (~120 kg)</w:t>
            </w:r>
          </w:p>
        </w:tc>
        <w:tc>
          <w:tcPr>
            <w:tcW w:type="dxa" w:w="100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Realized b/d</w:t>
            </w:r>
          </w:p>
        </w:tc>
        <w:tc>
          <w:tcPr>
            <w:tcW w:type="dxa" w:w="100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Daily x 30.4</w:t>
            </w:r>
          </w:p>
        </w:tc>
        <w:tc>
          <w:tcPr>
            <w:tcW w:type="dxa" w:w="72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Daily / 4,500</w:t>
            </w:r>
          </w:p>
        </w:tc>
        <w:tc>
          <w:tcPr>
            <w:tcW w:type="dxa" w:w="158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 Certified OR ℹ️ Buffer</w:t>
            </w:r>
          </w:p>
        </w:tc>
        <w:tc>
          <w:tcPr>
            <w:tcW w:type="dxa" w:w="86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Bi-Weekly</w:t>
            </w:r>
          </w:p>
        </w:tc>
        <w:tc>
          <w:tcPr>
            <w:tcW w:type="dxa" w:w="115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Available / INSTALLED / AI BEST FIT</w:t>
            </w:r>
          </w:p>
        </w:tc>
      </w:tr>
      <w:tr>
        <w:tc>
          <w:tcPr>
            <w:tcW w:type="dxa" w:w="158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Ripet C-Front</w:t>
            </w:r>
          </w:p>
        </w:tc>
        <w:tc>
          <w:tcPr>
            <w:tcW w:type="dxa" w:w="201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Industrial Compactor</w:t>
            </w:r>
          </w:p>
        </w:tc>
        <w:tc>
          <w:tcPr>
            <w:tcW w:type="dxa" w:w="129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4,500 b/d (~120 kg)</w:t>
            </w:r>
          </w:p>
        </w:tc>
        <w:tc>
          <w:tcPr>
            <w:tcW w:type="dxa" w:w="100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Realized b/d</w:t>
            </w:r>
          </w:p>
        </w:tc>
        <w:tc>
          <w:tcPr>
            <w:tcW w:type="dxa" w:w="100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Daily x 30.4</w:t>
            </w:r>
          </w:p>
        </w:tc>
        <w:tc>
          <w:tcPr>
            <w:tcW w:type="dxa" w:w="72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Daily / 4,500</w:t>
            </w:r>
          </w:p>
        </w:tc>
        <w:tc>
          <w:tcPr>
            <w:tcW w:type="dxa" w:w="158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 Certified OR ℹ️ Buffer</w:t>
            </w:r>
          </w:p>
        </w:tc>
        <w:tc>
          <w:tcPr>
            <w:tcW w:type="dxa" w:w="86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Bi-Weekly</w:t>
            </w:r>
          </w:p>
        </w:tc>
        <w:tc>
          <w:tcPr>
            <w:tcW w:type="dxa" w:w="115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Available / INSTALLED / AI BEST FIT</w:t>
            </w:r>
          </w:p>
        </w:tc>
      </w:tr>
    </w:tbl>
    <w:p>
      <w:pPr>
        <w:spacing w:after="80"/>
      </w:pPr>
    </w:p>
    <w:p>
      <w:pPr>
        <w:spacing w:after="100" w:line="276" w:lineRule="auto"/>
      </w:pPr>
      <w:r>
        <w:rPr>
          <w:rFonts w:ascii="Calibri" w:hAnsi="Calibri"/>
          <w:color w:val="0F172A"/>
          <w:sz w:val="20"/>
        </w:rPr>
        <w:t>Directly beneath the table, the 'AI Automated Sizing Strategy Advisory Box' explains the automated hardware selection logic: for new sites, daily throughput &lt;= 260 b/d recommends Daint A-bis (70–85% utilization); &lt;= 450 b/d recommends Daint B-Bis (safe buffer); &lt;= 900 b/d recommends Daint G; and &gt; 900 b/d recommends Ripet C-Front industrial compactor. For existing network installations, the box confirms the installed machine ID and database status.</w:t>
      </w:r>
    </w:p>
    <w:p>
      <w:pPr>
        <w:pStyle w:val="Heading2"/>
        <w:keepNext/>
        <w:spacing w:before="280" w:after="80"/>
      </w:pPr>
      <w:r>
        <w:rPr>
          <w:rFonts w:ascii="Calibri" w:hAnsi="Calibri"/>
          <w:b/>
          <w:color w:val="198754"/>
          <w:sz w:val="26"/>
        </w:rPr>
        <w:t>3.3 Executive Status Header Cards</w:t>
      </w:r>
    </w:p>
    <w:p>
      <w:pPr>
        <w:spacing w:after="100" w:line="276" w:lineRule="auto"/>
      </w:pPr>
      <w:r>
        <w:rPr>
          <w:rFonts w:ascii="Calibri" w:hAnsi="Calibri"/>
          <w:color w:val="0F172A"/>
          <w:sz w:val="20"/>
        </w:rPr>
        <w:t>Three high-level executive cards summarize the investment case:</w:t>
      </w:r>
    </w:p>
    <w:p>
      <w:pPr>
        <w:pStyle w:val="ListBullet"/>
        <w:spacing w:after="60" w:line="276" w:lineRule="auto"/>
      </w:pPr>
      <w:r>
        <w:rPr>
          <w:rFonts w:ascii="Calibri" w:hAnsi="Calibri"/>
          <w:b/>
          <w:color w:val="0F172A"/>
          <w:sz w:val="20"/>
        </w:rPr>
        <w:t xml:space="preserve">1. 💼 Investment Verdict: </w:t>
      </w:r>
      <w:r>
        <w:rPr>
          <w:rFonts w:ascii="Calibri" w:hAnsi="Calibri"/>
          <w:color w:val="0F172A"/>
          <w:sz w:val="20"/>
        </w:rPr>
        <w:t>Displays Verdict Title (e.g. 'Commercially Viable', 'Conditional', 'Review'), Action Chip ('Proceed', 'Review'), Active Model indicator dot, and Potential Volume Tier ('Super Prendente', 'Alto Prendente', 'Medio Prendente', 'Basso Prendente').</w:t>
      </w:r>
    </w:p>
    <w:p>
      <w:pPr>
        <w:pStyle w:val="ListBullet"/>
        <w:spacing w:after="60" w:line="276" w:lineRule="auto"/>
      </w:pPr>
      <w:r>
        <w:rPr>
          <w:rFonts w:ascii="Calibri" w:hAnsi="Calibri"/>
          <w:b/>
          <w:color w:val="0F172A"/>
          <w:sz w:val="20"/>
        </w:rPr>
        <w:t xml:space="preserve">2. 🎯 Model Confidence: </w:t>
      </w:r>
      <w:r>
        <w:rPr>
          <w:rFonts w:ascii="Calibri" w:hAnsi="Calibri"/>
          <w:color w:val="0F172A"/>
          <w:sz w:val="20"/>
        </w:rPr>
        <w:t>Displays Stacking Ensemble Confidence ('High Confidence'), model architecture subtitle ('Calibrated Stacking Ensemble'), and Clearance Gate status ('Suitable', 'Conditional', 'Unfavorable').</w:t>
      </w:r>
    </w:p>
    <w:p>
      <w:pPr>
        <w:pStyle w:val="ListBullet"/>
        <w:spacing w:after="60" w:line="276" w:lineRule="auto"/>
      </w:pPr>
      <w:r>
        <w:rPr>
          <w:rFonts w:ascii="Calibri" w:hAnsi="Calibri"/>
          <w:b/>
          <w:color w:val="0F172A"/>
          <w:sz w:val="20"/>
        </w:rPr>
        <w:t xml:space="preserve">3. 📍 Target Location: </w:t>
      </w:r>
      <w:r>
        <w:rPr>
          <w:rFonts w:ascii="Calibri" w:hAnsi="Calibri"/>
          <w:color w:val="0F172A"/>
          <w:sz w:val="20"/>
        </w:rPr>
        <w:t>Displays Comune, Province, Region, 5-digit CAP pill, verified retail store name &amp; street address, Nielsen Geographic Area (Area 1, 2, 3, or 4), active Machine Type, and Sales Area / Casse chip.</w:t>
      </w:r>
    </w:p>
    <w:p>
      <w:pPr>
        <w:pStyle w:val="Heading2"/>
        <w:keepNext/>
        <w:spacing w:before="280" w:after="80"/>
      </w:pPr>
      <w:r>
        <w:rPr>
          <w:rFonts w:ascii="Calibri" w:hAnsi="Calibri"/>
          <w:b/>
          <w:color w:val="198754"/>
          <w:sz w:val="26"/>
        </w:rPr>
        <w:t>3.4 Key Operational Metrics Row</w:t>
      </w:r>
    </w:p>
    <w:p>
      <w:pPr>
        <w:spacing w:after="100" w:line="276" w:lineRule="auto"/>
      </w:pPr>
      <w:r>
        <w:rPr>
          <w:rFonts w:ascii="Calibri" w:hAnsi="Calibri"/>
          <w:color w:val="0F172A"/>
          <w:sz w:val="20"/>
        </w:rPr>
        <w:t>Five dedicated metric cards present the primary operational figures:</w:t>
      </w:r>
    </w:p>
    <w:p>
      <w:pPr>
        <w:pStyle w:val="ListBullet"/>
        <w:spacing w:after="60" w:line="276" w:lineRule="auto"/>
      </w:pPr>
      <w:r>
        <w:rPr>
          <w:rFonts w:ascii="Calibri" w:hAnsi="Calibri"/>
          <w:b/>
          <w:color w:val="0F172A"/>
          <w:sz w:val="20"/>
        </w:rPr>
        <w:t xml:space="preserve">• Daily Footfall (users/d): </w:t>
      </w:r>
      <w:r>
        <w:rPr>
          <w:rFonts w:ascii="Calibri" w:hAnsi="Calibri"/>
          <w:color w:val="0F172A"/>
          <w:sz w:val="20"/>
        </w:rPr>
        <w:t>Expected unique daily recycling visitors visiting the RVM unit.</w:t>
      </w:r>
    </w:p>
    <w:p>
      <w:pPr>
        <w:pStyle w:val="ListBullet"/>
        <w:spacing w:after="60" w:line="276" w:lineRule="auto"/>
      </w:pPr>
      <w:r>
        <w:rPr>
          <w:rFonts w:ascii="Calibri" w:hAnsi="Calibri"/>
          <w:b/>
          <w:color w:val="0F172A"/>
          <w:sz w:val="20"/>
        </w:rPr>
        <w:t xml:space="preserve">• Daily PET Yield (b/day): </w:t>
      </w:r>
      <w:r>
        <w:rPr>
          <w:rFonts w:ascii="Calibri" w:hAnsi="Calibri"/>
          <w:color w:val="0F172A"/>
          <w:sz w:val="20"/>
        </w:rPr>
        <w:t>Underwritten daily PET container intake under mature operating conditions.</w:t>
      </w:r>
    </w:p>
    <w:p>
      <w:pPr>
        <w:pStyle w:val="ListBullet"/>
        <w:spacing w:after="60" w:line="276" w:lineRule="auto"/>
      </w:pPr>
      <w:r>
        <w:rPr>
          <w:rFonts w:ascii="Calibri" w:hAnsi="Calibri"/>
          <w:b/>
          <w:color w:val="0F172A"/>
          <w:sz w:val="20"/>
        </w:rPr>
        <w:t xml:space="preserve">• Monthly Volume (b/mo): </w:t>
      </w:r>
      <w:r>
        <w:rPr>
          <w:rFonts w:ascii="Calibri" w:hAnsi="Calibri"/>
          <w:color w:val="0F172A"/>
          <w:sz w:val="20"/>
        </w:rPr>
        <w:t>30-day operational collection run (Daily Yield x 30.4).</w:t>
      </w:r>
    </w:p>
    <w:p>
      <w:pPr>
        <w:pStyle w:val="ListBullet"/>
        <w:spacing w:after="60" w:line="276" w:lineRule="auto"/>
      </w:pPr>
      <w:r>
        <w:rPr>
          <w:rFonts w:ascii="Calibri" w:hAnsi="Calibri"/>
          <w:b/>
          <w:color w:val="0F172A"/>
          <w:sz w:val="20"/>
        </w:rPr>
        <w:t xml:space="preserve">• Bottles / User (b/user): </w:t>
      </w:r>
      <w:r>
        <w:rPr>
          <w:rFonts w:ascii="Calibri" w:hAnsi="Calibri"/>
          <w:color w:val="0F172A"/>
          <w:sz w:val="20"/>
        </w:rPr>
        <w:t>Recycle intensity per visit (Daily Bottles / Daily Footfall). Standard national range is 22 to 45 b/user.</w:t>
      </w:r>
    </w:p>
    <w:p>
      <w:pPr>
        <w:pStyle w:val="ListBullet"/>
        <w:spacing w:after="60" w:line="276" w:lineRule="auto"/>
      </w:pPr>
      <w:r>
        <w:rPr>
          <w:rFonts w:ascii="Calibri" w:hAnsi="Calibri"/>
          <w:b/>
          <w:color w:val="0F172A"/>
          <w:sz w:val="20"/>
        </w:rPr>
        <w:t xml:space="preserve">• Suitability Rank (% score): </w:t>
      </w:r>
      <w:r>
        <w:rPr>
          <w:rFonts w:ascii="Calibri" w:hAnsi="Calibri"/>
          <w:color w:val="0F172A"/>
          <w:sz w:val="20"/>
        </w:rPr>
        <w:t>Network benchmark percentile ranking this store against the 1,849 active installed Coripet machines across Italy.</w:t>
      </w:r>
    </w:p>
    <w:p>
      <w:pPr>
        <w:pStyle w:val="Heading2"/>
        <w:keepNext/>
        <w:spacing w:before="280" w:after="80"/>
      </w:pPr>
      <w:r>
        <w:rPr>
          <w:rFonts w:ascii="Calibri" w:hAnsi="Calibri"/>
          <w:b/>
          <w:color w:val="198754"/>
          <w:sz w:val="26"/>
        </w:rPr>
        <w:t>3.5 Two-Column Visuals &amp; Verbatim Location Analysis</w:t>
      </w:r>
    </w:p>
    <w:p>
      <w:pPr>
        <w:spacing w:after="100" w:line="276" w:lineRule="auto"/>
      </w:pPr>
      <w:r>
        <w:rPr>
          <w:rFonts w:ascii="Calibri" w:hAnsi="Calibri"/>
          <w:color w:val="0F172A"/>
          <w:sz w:val="20"/>
        </w:rPr>
        <w:t>The dashboard presents a dual-column analysis section:</w:t>
      </w:r>
    </w:p>
    <w:p>
      <w:pPr>
        <w:pStyle w:val="ListBullet"/>
        <w:spacing w:after="60" w:line="276" w:lineRule="auto"/>
      </w:pPr>
      <w:r>
        <w:rPr>
          <w:rFonts w:ascii="Calibri" w:hAnsi="Calibri"/>
          <w:b/>
          <w:color w:val="0F172A"/>
          <w:sz w:val="20"/>
        </w:rPr>
        <w:t xml:space="preserve">• Left Column (📊 Network Suitability Gauge): </w:t>
      </w:r>
      <w:r>
        <w:rPr>
          <w:rFonts w:ascii="Calibri" w:hAnsi="Calibri"/>
          <w:color w:val="0F172A"/>
          <w:sz w:val="20"/>
        </w:rPr>
        <w:t>Visual semi-circular Plotly gauge displaying the Suitability Score (0 to 100%) with color-graded arc. Accompanied by three scenario cards: Floor P25 (conservative floor, 82% of baseline), Steady Base P50 (steady-state baseline), and Peak Ceiling P75 (peak ceiling, 125% of baseline).</w:t>
      </w:r>
    </w:p>
    <w:p>
      <w:pPr>
        <w:pStyle w:val="ListBullet"/>
        <w:spacing w:after="60" w:line="276" w:lineRule="auto"/>
      </w:pPr>
      <w:r>
        <w:rPr>
          <w:rFonts w:ascii="Calibri" w:hAnsi="Calibri"/>
          <w:b/>
          <w:color w:val="0F172A"/>
          <w:sz w:val="20"/>
        </w:rPr>
        <w:t xml:space="preserve">• Right Column (📋 Verbatim Location Analysis): </w:t>
      </w:r>
      <w:r>
        <w:rPr>
          <w:rFonts w:ascii="Calibri" w:hAnsi="Calibri"/>
          <w:color w:val="0F172A"/>
          <w:sz w:val="20"/>
        </w:rPr>
        <w:t>Monospaced terminal console providing the verbatim audit record of all key metrics, suitability score, volume recommendation tier, and confidence rating for instant export into underwriting memos.</w:t>
      </w:r>
    </w:p>
    <w:p>
      <w:pPr>
        <w:pStyle w:val="Heading1"/>
        <w:keepNext/>
        <w:spacing w:before="360" w:after="120"/>
      </w:pPr>
      <w:r>
        <w:rPr>
          <w:rFonts w:ascii="Calibri" w:hAnsi="Calibri"/>
          <w:b/>
          <w:color w:val="0F5132"/>
          <w:sz w:val="32"/>
        </w:rPr>
        <w:t>4. Multi-Task Neural Network (MultiTaskRVMNet) &amp; Stacking Ensemble</w:t>
      </w:r>
    </w:p>
    <w:p>
      <w:pPr>
        <w:spacing w:after="100" w:line="276" w:lineRule="auto"/>
      </w:pPr>
      <w:r>
        <w:rPr>
          <w:rFonts w:ascii="Calibri" w:hAnsi="Calibri"/>
          <w:color w:val="0F172A"/>
          <w:sz w:val="20"/>
        </w:rPr>
        <w:t>At the computational heart of the Coripet Prospective Predictor is a custom PyTorch multi-task neural network (MultiTaskRVMNet) combined with a LightGBM gradient-boosted decision tree stacking ensemble. Unlike generic regression models that treat container intake and store footfall independently, MultiTaskRVMNet explicitly models the strong co-dependence between unique recycling shoppers (PRESENZE) and collected PET containers (BOTTIGLIE).</w:t>
      </w:r>
    </w:p>
    <w:p>
      <w:pPr>
        <w:pStyle w:val="Heading2"/>
        <w:keepNext/>
        <w:spacing w:before="280" w:after="80"/>
      </w:pPr>
      <w:r>
        <w:rPr>
          <w:rFonts w:ascii="Calibri" w:hAnsi="Calibri"/>
          <w:b/>
          <w:color w:val="198754"/>
          <w:sz w:val="26"/>
        </w:rPr>
        <w:t>4.1 MultiTaskRVMNet Network Topology</w:t>
      </w:r>
    </w:p>
    <w:p>
      <w:pPr>
        <w:spacing w:after="100" w:line="276" w:lineRule="auto"/>
      </w:pPr>
      <w:r>
        <w:rPr>
          <w:rFonts w:ascii="Calibri" w:hAnsi="Calibri"/>
          <w:color w:val="0F172A"/>
          <w:sz w:val="20"/>
        </w:rPr>
        <w:t>The neural network architecture consists of three coordinated processing stages: (1) Categorical Entity Embedding Layers, (2) Shared Deep Representation Backbone, and (3) Specialized Regression Output Heads.</w:t>
      </w:r>
    </w:p>
    <w:tbl>
      <w:tblPr>
        <w:tblW w:type="auto" w:w="0"/>
        <w:jc w:val="center"/>
        <w:tblLayout w:type="fixed"/>
        <w:tblLook w:firstColumn="1" w:firstRow="1" w:lastColumn="0" w:lastRow="0" w:noHBand="0" w:noVBand="1" w:val="04A0"/>
      </w:tblPr>
      <w:tblGrid>
        <w:gridCol w:w="9936"/>
      </w:tblGrid>
      <w:tr>
        <w:tc>
          <w:tcPr>
            <w:tcW w:type="dxa" w:w="9792"/>
            <w:shd w:fill="0f172a"/>
            <w:tcMar>
              <w:top w:w="100" w:type="dxa"/>
              <w:bottom w:w="100" w:type="dxa"/>
              <w:left w:w="140" w:type="dxa"/>
              <w:right w:w="140" w:type="dxa"/>
            </w:tcMar>
            <w:tcBorders>
              <w:top w:sz="4" w:val="single" w:color="334155"/>
              <w:left w:sz="4" w:val="single" w:color="334155"/>
              <w:bottom w:sz="4" w:val="single" w:color="334155"/>
              <w:right w:sz="4" w:val="single" w:color="334155"/>
            </w:tcBorders>
          </w:tcPr>
          <w:p>
            <w:pPr>
              <w:spacing w:before="0" w:after="0" w:line="252" w:lineRule="auto"/>
            </w:pPr>
            <w:r>
              <w:rPr>
                <w:rFonts w:ascii="Consolas" w:hAnsi="Consolas"/>
                <w:color w:val="F1F5F9"/>
                <w:sz w:val="17"/>
              </w:rPr>
              <w:t>INPUT TENSORS:</w:t>
              <w:br/>
              <w:t xml:space="preserve">  ├── Numerical Features [x_num: continuous variables, scaled with StandardScaler]</w:t>
              <w:br/>
              <w:t xml:space="preserve">  └── Categorical Features [x_cat: discrete tokens for brand, model, region, format...]</w:t>
              <w:br/>
              <w:t xml:space="preserve">            │</w:t>
              <w:br/>
              <w:t xml:space="preserve">            ▼</w:t>
              <w:br/>
              <w:t>ENTITY EMBEDDING DICTIONARY (ModuleDict):</w:t>
              <w:br/>
              <w:t xml:space="preserve">  ├── Insegna_Standardized Embedding  [Vocab -&gt; Dim d_1]</w:t>
              <w:br/>
              <w:t xml:space="preserve">  ├── TipoMacchina Embedding          [Vocab -&gt; Dim d_2]</w:t>
              <w:br/>
              <w:t xml:space="preserve">  ├── nielsen_gruppo Embedding        [Vocab -&gt; Dim d_3]</w:t>
              <w:br/>
              <w:t xml:space="preserve">  ├── nielsen_tipo_negozio Embedding  [Vocab -&gt; Dim d_4]</w:t>
              <w:br/>
              <w:t xml:space="preserve">  ├── nielsen_area Embedding          [Vocab -&gt; Dim d_5]</w:t>
              <w:br/>
              <w:t xml:space="preserve">  ├── Regione Embedding               [Vocab -&gt; Dim d_6]</w:t>
              <w:br/>
              <w:t xml:space="preserve">  ├── Provincia Embedding             [Vocab -&gt; Dim d_7]</w:t>
              <w:br/>
              <w:t xml:space="preserve">  └── Fornitore Embedding             [Vocab -&gt; Dim d_8]</w:t>
              <w:br/>
              <w:t xml:space="preserve">            │</w:t>
              <w:br/>
              <w:t xml:space="preserve">            ▼ Concatenate [x_num, emb_1, emb_2, ... emb_8] (Total In Dim: N_in)</w:t>
              <w:br/>
              <w:t>SHARED DENSE TRUNK (Feature Representation Backbone):</w:t>
              <w:br/>
              <w:t xml:space="preserve">  ├── Linear(N_in, 256) ──► GELU() ──► LayerNorm(256) ──► Dropout(p=0.20)</w:t>
              <w:br/>
              <w:t xml:space="preserve">  ├── Linear(256, 128)  ──► GELU() ──► LayerNorm(128) ──► Dropout(p=0.20)</w:t>
              <w:br/>
              <w:t xml:space="preserve">  └── Linear(128, 64)   ──► GELU() ──► LayerNorm(64)  ──► Dropout(p=0.10)</w:t>
              <w:br/>
              <w:t xml:space="preserve">            │</w:t>
              <w:br/>
              <w:t xml:space="preserve">            ├─────────────────────────────────────────┐</w:t>
              <w:br/>
              <w:t xml:space="preserve">            ▼                                         ▼</w:t>
              <w:br/>
              <w:t>HEAD 1: PRESENZE HEAD                     HEAD 2: BOTTIGLIE HEAD</w:t>
              <w:br/>
              <w:t xml:space="preserve">  ├── Linear(64, 32)                        ├── Linear(64, 32)</w:t>
              <w:br/>
              <w:t xml:space="preserve">  ├── GELU()                                ├── GELU()</w:t>
              <w:br/>
              <w:t xml:space="preserve">  └── Linear(32, 1)                         └── Linear(32, 1)</w:t>
              <w:br/>
              <w:t xml:space="preserve">            │                                         │</w:t>
              <w:br/>
              <w:t xml:space="preserve">            ▼                                         ▼</w:t>
              <w:br/>
              <w:t xml:space="preserve">  log1p(PRESENZE / day)                     log1p(BOTTIGLIE / day)</w:t>
            </w:r>
          </w:p>
        </w:tc>
      </w:tr>
    </w:tbl>
    <w:p>
      <w:pPr>
        <w:spacing w:after="80"/>
      </w:pPr>
    </w:p>
    <w:p>
      <w:pPr>
        <w:pStyle w:val="Heading2"/>
        <w:keepNext/>
        <w:spacing w:before="280" w:after="80"/>
      </w:pPr>
      <w:r>
        <w:rPr>
          <w:rFonts w:ascii="Calibri" w:hAnsi="Calibri"/>
          <w:b/>
          <w:color w:val="198754"/>
          <w:sz w:val="26"/>
        </w:rPr>
        <w:t>4.2 Entity Embedding Sizing Formula &amp; Categorical Vocabularies</w:t>
      </w:r>
    </w:p>
    <w:p>
      <w:pPr>
        <w:spacing w:after="100" w:line="276" w:lineRule="auto"/>
      </w:pPr>
      <w:r>
        <w:rPr>
          <w:rFonts w:ascii="Calibri" w:hAnsi="Calibri"/>
          <w:color w:val="0F172A"/>
          <w:sz w:val="20"/>
        </w:rPr>
        <w:t>Categorical attributes are mapped to dense continuous embedding vectors rather than sparse one-hot vectors. The embedding dimensionality d for each categorical variable is computed dynamically using an adaptive square-root heuristic:</w:t>
      </w:r>
    </w:p>
    <w:p>
      <w:pPr>
        <w:pStyle w:val="ListBullet"/>
        <w:spacing w:after="60" w:line="276" w:lineRule="auto"/>
      </w:pPr>
      <w:r>
        <w:rPr>
          <w:rFonts w:ascii="Calibri" w:hAnsi="Calibri"/>
          <w:b/>
          <w:color w:val="0F172A"/>
          <w:sz w:val="20"/>
        </w:rPr>
        <w:t xml:space="preserve">• Embedding Sizing Rule: </w:t>
      </w:r>
      <w:r>
        <w:rPr>
          <w:rFonts w:ascii="Calibri" w:hAnsi="Calibri"/>
          <w:color w:val="0F172A"/>
          <w:sz w:val="20"/>
        </w:rPr>
        <w:t>d_emb = min(32, max(4, round(sqrt(V) * 2))), where V is the vocabulary size.</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160"/>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Categorical Feature</w:t>
            </w:r>
          </w:p>
        </w:tc>
        <w:tc>
          <w:tcPr>
            <w:tcW w:type="dxa" w:w="2592"/>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Vocabulary Domain</w:t>
            </w:r>
          </w:p>
        </w:tc>
        <w:tc>
          <w:tcPr>
            <w:tcW w:type="dxa" w:w="1440"/>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Estimated Vocab (V)</w:t>
            </w:r>
          </w:p>
        </w:tc>
        <w:tc>
          <w:tcPr>
            <w:tcW w:type="dxa" w:w="1296"/>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Embedding Dim (d)</w:t>
            </w:r>
          </w:p>
        </w:tc>
        <w:tc>
          <w:tcPr>
            <w:tcW w:type="dxa" w:w="2304"/>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Semantic Representation</w:t>
            </w:r>
          </w:p>
        </w:tc>
      </w:tr>
      <w:tr>
        <w:tc>
          <w:tcPr>
            <w:tcW w:type="dxa" w:w="216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Insegna_Standardized</w:t>
            </w:r>
          </w:p>
        </w:tc>
        <w:tc>
          <w:tcPr>
            <w:tcW w:type="dxa" w:w="259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Retail Brands (Esselunga, Conad, Coop, Decò...)</w:t>
            </w:r>
          </w:p>
        </w:tc>
        <w:tc>
          <w:tcPr>
            <w:tcW w:type="dxa" w:w="144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22 Banners</w:t>
            </w:r>
          </w:p>
        </w:tc>
        <w:tc>
          <w:tcPr>
            <w:tcW w:type="dxa" w:w="129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10 Dim</w:t>
            </w:r>
          </w:p>
        </w:tc>
        <w:tc>
          <w:tcPr>
            <w:tcW w:type="dxa" w:w="230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Captures chain-specific customer loyalty and foot-traffic density.</w:t>
            </w:r>
          </w:p>
        </w:tc>
      </w:tr>
      <w:tr>
        <w:tc>
          <w:tcPr>
            <w:tcW w:type="dxa" w:w="216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TipoMacchina</w:t>
            </w:r>
          </w:p>
        </w:tc>
        <w:tc>
          <w:tcPr>
            <w:tcW w:type="dxa" w:w="259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Hardware Models (Daint A-bis, B-Bis, G, Ripet C-Front)</w:t>
            </w:r>
          </w:p>
        </w:tc>
        <w:tc>
          <w:tcPr>
            <w:tcW w:type="dxa" w:w="144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4 Certified</w:t>
            </w:r>
          </w:p>
        </w:tc>
        <w:tc>
          <w:tcPr>
            <w:tcW w:type="dxa" w:w="129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4 Dim</w:t>
            </w:r>
          </w:p>
        </w:tc>
        <w:tc>
          <w:tcPr>
            <w:tcW w:type="dxa" w:w="230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Encodes compaction stream mechanism, intake speed, and bin limits.</w:t>
            </w:r>
          </w:p>
        </w:tc>
      </w:tr>
      <w:tr>
        <w:tc>
          <w:tcPr>
            <w:tcW w:type="dxa" w:w="216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nielsen_gruppo</w:t>
            </w:r>
          </w:p>
        </w:tc>
        <w:tc>
          <w:tcPr>
            <w:tcW w:type="dxa" w:w="259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Buying Alliances (Selex, Conad, Coop, Agorà...)</w:t>
            </w:r>
          </w:p>
        </w:tc>
        <w:tc>
          <w:tcPr>
            <w:tcW w:type="dxa" w:w="144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15 Groups</w:t>
            </w:r>
          </w:p>
        </w:tc>
        <w:tc>
          <w:tcPr>
            <w:tcW w:type="dxa" w:w="129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8 Dim</w:t>
            </w:r>
          </w:p>
        </w:tc>
        <w:tc>
          <w:tcPr>
            <w:tcW w:type="dxa" w:w="230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Captures promotional buying group power and regional market share.</w:t>
            </w:r>
          </w:p>
        </w:tc>
      </w:tr>
      <w:tr>
        <w:tc>
          <w:tcPr>
            <w:tcW w:type="dxa" w:w="216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nielsen_tipo_negozio</w:t>
            </w:r>
          </w:p>
        </w:tc>
        <w:tc>
          <w:tcPr>
            <w:tcW w:type="dxa" w:w="259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Store Formats (IPER, SUP, DIS, LIS, VIC)</w:t>
            </w:r>
          </w:p>
        </w:tc>
        <w:tc>
          <w:tcPr>
            <w:tcW w:type="dxa" w:w="144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6 Formats</w:t>
            </w:r>
          </w:p>
        </w:tc>
        <w:tc>
          <w:tcPr>
            <w:tcW w:type="dxa" w:w="129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5 Dim</w:t>
            </w:r>
          </w:p>
        </w:tc>
        <w:tc>
          <w:tcPr>
            <w:tcW w:type="dxa" w:w="230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Encodes physical shopper browsing duration and shopping basket scale.</w:t>
            </w:r>
          </w:p>
        </w:tc>
      </w:tr>
      <w:tr>
        <w:tc>
          <w:tcPr>
            <w:tcW w:type="dxa" w:w="216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nielsen_area</w:t>
            </w:r>
          </w:p>
        </w:tc>
        <w:tc>
          <w:tcPr>
            <w:tcW w:type="dxa" w:w="259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Macro Geographic Areas (Area 1, 2, 3, 4)</w:t>
            </w:r>
          </w:p>
        </w:tc>
        <w:tc>
          <w:tcPr>
            <w:tcW w:type="dxa" w:w="144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4 Areas</w:t>
            </w:r>
          </w:p>
        </w:tc>
        <w:tc>
          <w:tcPr>
            <w:tcW w:type="dxa" w:w="129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4 Dim</w:t>
            </w:r>
          </w:p>
        </w:tc>
        <w:tc>
          <w:tcPr>
            <w:tcW w:type="dxa" w:w="230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Represents macro-regional recycling culture and seasonal beverage volume.</w:t>
            </w:r>
          </w:p>
        </w:tc>
      </w:tr>
      <w:tr>
        <w:tc>
          <w:tcPr>
            <w:tcW w:type="dxa" w:w="216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Regione</w:t>
            </w:r>
          </w:p>
        </w:tc>
        <w:tc>
          <w:tcPr>
            <w:tcW w:type="dxa" w:w="259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20 Italian Administrative Regions</w:t>
            </w:r>
          </w:p>
        </w:tc>
        <w:tc>
          <w:tcPr>
            <w:tcW w:type="dxa" w:w="144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20 Regions</w:t>
            </w:r>
          </w:p>
        </w:tc>
        <w:tc>
          <w:tcPr>
            <w:tcW w:type="dxa" w:w="129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9 Dim</w:t>
            </w:r>
          </w:p>
        </w:tc>
        <w:tc>
          <w:tcPr>
            <w:tcW w:type="dxa" w:w="230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Captures regional waste disposal tariffs and regional municipal regulations.</w:t>
            </w:r>
          </w:p>
        </w:tc>
      </w:tr>
      <w:tr>
        <w:tc>
          <w:tcPr>
            <w:tcW w:type="dxa" w:w="216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Provincia</w:t>
            </w:r>
          </w:p>
        </w:tc>
        <w:tc>
          <w:tcPr>
            <w:tcW w:type="dxa" w:w="259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107 Italian Administrative Provinces</w:t>
            </w:r>
          </w:p>
        </w:tc>
        <w:tc>
          <w:tcPr>
            <w:tcW w:type="dxa" w:w="144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107 Prov</w:t>
            </w:r>
          </w:p>
        </w:tc>
        <w:tc>
          <w:tcPr>
            <w:tcW w:type="dxa" w:w="129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21 Dim</w:t>
            </w:r>
          </w:p>
        </w:tc>
        <w:tc>
          <w:tcPr>
            <w:tcW w:type="dxa" w:w="230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Fine-grained demographic density, income distribution, and logistics.</w:t>
            </w:r>
          </w:p>
        </w:tc>
      </w:tr>
      <w:tr>
        <w:tc>
          <w:tcPr>
            <w:tcW w:type="dxa" w:w="216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Fornitore</w:t>
            </w:r>
          </w:p>
        </w:tc>
        <w:tc>
          <w:tcPr>
            <w:tcW w:type="dxa" w:w="259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Machine Hardware Vendors &amp; Manufacturers</w:t>
            </w:r>
          </w:p>
        </w:tc>
        <w:tc>
          <w:tcPr>
            <w:tcW w:type="dxa" w:w="144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6 Vendors</w:t>
            </w:r>
          </w:p>
        </w:tc>
        <w:tc>
          <w:tcPr>
            <w:tcW w:type="dxa" w:w="129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5 Dim</w:t>
            </w:r>
          </w:p>
        </w:tc>
        <w:tc>
          <w:tcPr>
            <w:tcW w:type="dxa" w:w="230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Encodes vendor telematics telemetry calibration and hardware reliability.</w:t>
            </w:r>
          </w:p>
        </w:tc>
      </w:tr>
    </w:tbl>
    <w:p>
      <w:pPr>
        <w:spacing w:after="80"/>
      </w:pPr>
    </w:p>
    <w:p>
      <w:pPr>
        <w:pStyle w:val="Heading2"/>
        <w:keepNext/>
        <w:spacing w:before="280" w:after="80"/>
      </w:pPr>
      <w:r>
        <w:rPr>
          <w:rFonts w:ascii="Calibri" w:hAnsi="Calibri"/>
          <w:b/>
          <w:color w:val="198754"/>
          <w:sz w:val="26"/>
        </w:rPr>
        <w:t>4.3 Continuous Feature Normalization &amp; Skewness Mitigation</w:t>
      </w:r>
    </w:p>
    <w:p>
      <w:pPr>
        <w:spacing w:after="100" w:line="276" w:lineRule="auto"/>
      </w:pPr>
      <w:r>
        <w:rPr>
          <w:rFonts w:ascii="Calibri" w:hAnsi="Calibri"/>
          <w:color w:val="0F172A"/>
          <w:sz w:val="20"/>
        </w:rPr>
        <w:t>Continuous demographic, spatial, and store variables exhibit extreme positive skewness (e.g. population ranges from 500 inhabitants in rural mountain communes to 1,400,000 in Rome). To stabilize neural network gradients, skewed variables undergo a log1p transform prior to standard z-score normalization:</w:t>
      </w:r>
    </w:p>
    <w:p>
      <w:pPr>
        <w:pStyle w:val="ListBullet"/>
        <w:spacing w:after="60" w:line="276" w:lineRule="auto"/>
      </w:pPr>
      <w:r>
        <w:rPr>
          <w:rFonts w:ascii="Calibri" w:hAnsi="Calibri"/>
          <w:b/>
          <w:color w:val="0F172A"/>
          <w:sz w:val="20"/>
        </w:rPr>
        <w:t xml:space="preserve">• Log-Transformed Skewed Features: </w:t>
      </w:r>
      <w:r>
        <w:rPr>
          <w:rFonts w:ascii="Calibri" w:hAnsi="Calibri"/>
          <w:color w:val="0F172A"/>
          <w:sz w:val="20"/>
        </w:rPr>
        <w:t>x_log = log(1 + x) applied to: municipal population, land surface km², population density (ab/km²), municipal GDP (PIL), store sales area (m²), and distance to nearest Coripet machine (km).</w:t>
      </w:r>
    </w:p>
    <w:p>
      <w:pPr>
        <w:pStyle w:val="ListBullet"/>
        <w:spacing w:after="60" w:line="276" w:lineRule="auto"/>
      </w:pPr>
      <w:r>
        <w:rPr>
          <w:rFonts w:ascii="Calibri" w:hAnsi="Calibri"/>
          <w:b/>
          <w:color w:val="0F172A"/>
          <w:sz w:val="20"/>
        </w:rPr>
        <w:t xml:space="preserve">• Standard Continuous Features: </w:t>
      </w:r>
      <w:r>
        <w:rPr>
          <w:rFonts w:ascii="Calibri" w:hAnsi="Calibri"/>
          <w:color w:val="0F172A"/>
          <w:sz w:val="20"/>
        </w:rPr>
        <w:t>Standardized using training set medians and standard deviations: latitude, longitude, postal code numeric prefix, PIL per capita wealth index, checkout counts, competitive grocery store density, and machines within 5 km.</w:t>
      </w:r>
    </w:p>
    <w:p>
      <w:pPr>
        <w:pStyle w:val="ListBullet"/>
        <w:spacing w:after="60" w:line="276" w:lineRule="auto"/>
      </w:pPr>
      <w:r>
        <w:rPr>
          <w:rFonts w:ascii="Calibri" w:hAnsi="Calibri"/>
          <w:b/>
          <w:color w:val="0F172A"/>
          <w:sz w:val="20"/>
        </w:rPr>
        <w:t xml:space="preserve">• Cyclical Calendar Encodings: </w:t>
      </w:r>
      <w:r>
        <w:rPr>
          <w:rFonts w:ascii="Calibri" w:hAnsi="Calibri"/>
          <w:color w:val="0F172A"/>
          <w:sz w:val="20"/>
        </w:rPr>
        <w:t>Encoded as sinusoidal harmonic pairs: sin(2π * DOW / 7) and cos(2π * DOW / 7) for weekly rhythm; sin(2π * Month / 12) and cos(2π * Month / 12) for annual seasonality, preserving calendar continuity across Sunday/Monday and December/January.</w:t>
      </w:r>
    </w:p>
    <w:p>
      <w:pPr>
        <w:pStyle w:val="Heading2"/>
        <w:keepNext/>
        <w:spacing w:before="280" w:after="80"/>
      </w:pPr>
      <w:r>
        <w:rPr>
          <w:rFonts w:ascii="Calibri" w:hAnsi="Calibri"/>
          <w:b/>
          <w:color w:val="198754"/>
          <w:sz w:val="26"/>
        </w:rPr>
        <w:t>4.4 Multi-Task Huber Loss Function &amp; Outlier Sample Weighting</w:t>
      </w:r>
    </w:p>
    <w:p>
      <w:pPr>
        <w:spacing w:after="100" w:line="276" w:lineRule="auto"/>
      </w:pPr>
      <w:r>
        <w:rPr>
          <w:rFonts w:ascii="Calibri" w:hAnsi="Calibri"/>
          <w:color w:val="0F172A"/>
          <w:sz w:val="20"/>
        </w:rPr>
        <w:t>Because retail collection data contains occasional anomalous spikes (e.g. commercial restaurant bulk drops) and zero-volume downtime records, training with standard Mean Squared Error (MSE) would cause severe gradient explosion. The network is trained with a dual-head Multi-Task Huber Loss with threshold delta = 1.0:</w:t>
      </w:r>
    </w:p>
    <w:p>
      <w:pPr>
        <w:pStyle w:val="ListBullet"/>
        <w:spacing w:after="60" w:line="276" w:lineRule="auto"/>
      </w:pPr>
      <w:r>
        <w:rPr>
          <w:rFonts w:ascii="Calibri" w:hAnsi="Calibri"/>
          <w:b/>
          <w:color w:val="0F172A"/>
          <w:sz w:val="20"/>
        </w:rPr>
        <w:t xml:space="preserve">• Huber Loss Definition: </w:t>
      </w:r>
      <w:r>
        <w:rPr>
          <w:rFonts w:ascii="Calibri" w:hAnsi="Calibri"/>
          <w:color w:val="0F172A"/>
          <w:sz w:val="20"/>
        </w:rPr>
        <w:t>Huber(e) = 0.5 * e² if |e| &lt;= 1.0; else |e| - 0.5. Becomes quadratic for small errors and strictly linear for large deviations, making the model inherently robust to extreme outlier spikes.</w:t>
      </w:r>
    </w:p>
    <w:p>
      <w:pPr>
        <w:pStyle w:val="ListBullet"/>
        <w:spacing w:after="60" w:line="276" w:lineRule="auto"/>
      </w:pPr>
      <w:r>
        <w:rPr>
          <w:rFonts w:ascii="Calibri" w:hAnsi="Calibri"/>
          <w:b/>
          <w:color w:val="0F172A"/>
          <w:sz w:val="20"/>
        </w:rPr>
        <w:t xml:space="preserve">• Multi-Task Objective: </w:t>
      </w:r>
      <w:r>
        <w:rPr>
          <w:rFonts w:ascii="Calibri" w:hAnsi="Calibri"/>
          <w:color w:val="0F172A"/>
          <w:sz w:val="20"/>
        </w:rPr>
        <w:t>L_total = w_bottiglie * L_huber(pred_b, target_b) + w_presenze * L_huber(pred_p, target_p), where target values are expressed in log1p space: y = log(1 + actual).</w:t>
      </w:r>
    </w:p>
    <w:p>
      <w:pPr>
        <w:pStyle w:val="ListBullet"/>
        <w:spacing w:after="60" w:line="276" w:lineRule="auto"/>
      </w:pPr>
      <w:r>
        <w:rPr>
          <w:rFonts w:ascii="Calibri" w:hAnsi="Calibri"/>
          <w:b/>
          <w:color w:val="0F172A"/>
          <w:sz w:val="20"/>
        </w:rPr>
        <w:t xml:space="preserve">• Anomaly Sample Weighting: </w:t>
      </w:r>
      <w:r>
        <w:rPr>
          <w:rFonts w:ascii="Calibri" w:hAnsi="Calibri"/>
          <w:color w:val="0F172A"/>
          <w:sz w:val="20"/>
        </w:rPr>
        <w:t>During training, machines flagged as chronic capacity jams (Rule 2) or sensor drift (Rule 7) receive reduced sample weights (w = 0.25 to 0.30), preventing defective hardware from corrupting prospective weights.</w:t>
      </w:r>
    </w:p>
    <w:p>
      <w:pPr>
        <w:pStyle w:val="Heading2"/>
        <w:keepNext/>
        <w:spacing w:before="280" w:after="80"/>
      </w:pPr>
      <w:r>
        <w:rPr>
          <w:rFonts w:ascii="Calibri" w:hAnsi="Calibri"/>
          <w:b/>
          <w:color w:val="198754"/>
          <w:sz w:val="26"/>
        </w:rPr>
        <w:t>4.5 Stacking Ensemble Architecture (LightGBM + MultiTaskRVMNet)</w:t>
      </w:r>
    </w:p>
    <w:p>
      <w:pPr>
        <w:spacing w:after="100" w:line="276" w:lineRule="auto"/>
      </w:pPr>
      <w:r>
        <w:rPr>
          <w:rFonts w:ascii="Calibri" w:hAnsi="Calibri"/>
          <w:color w:val="0F172A"/>
          <w:sz w:val="20"/>
        </w:rPr>
        <w:t>In production inference, the neural network is blended with a trained LightGBM gradient boosted tree ensemble. This dual-engine architecture combines the tabular pattern recognition of gradient boosted trees with the deep non-linear representation and entity embeddings of the PyTorch neural network. The ensemble weights are calibrated via out-of-fold cross-validation:</w:t>
      </w:r>
    </w:p>
    <w:p>
      <w:pPr>
        <w:pStyle w:val="ListBullet"/>
        <w:spacing w:after="60" w:line="276" w:lineRule="auto"/>
      </w:pPr>
      <w:r>
        <w:rPr>
          <w:rFonts w:ascii="Calibri" w:hAnsi="Calibri"/>
          <w:b/>
          <w:color w:val="0F172A"/>
          <w:sz w:val="20"/>
        </w:rPr>
        <w:t xml:space="preserve">• BOTTIGLIE Ensemble Formula: </w:t>
      </w:r>
      <w:r>
        <w:rPr>
          <w:rFonts w:ascii="Calibri" w:hAnsi="Calibri"/>
          <w:color w:val="0F172A"/>
          <w:sz w:val="20"/>
        </w:rPr>
        <w:t>Forecast_Bottles = 0.90 * LightGBM_Bottles + 0.10 * NeuralNet_Bottles</w:t>
      </w:r>
    </w:p>
    <w:p>
      <w:pPr>
        <w:pStyle w:val="ListBullet"/>
        <w:spacing w:after="60" w:line="276" w:lineRule="auto"/>
      </w:pPr>
      <w:r>
        <w:rPr>
          <w:rFonts w:ascii="Calibri" w:hAnsi="Calibri"/>
          <w:b/>
          <w:color w:val="0F172A"/>
          <w:sz w:val="20"/>
        </w:rPr>
        <w:t xml:space="preserve">• PRESENZE Ensemble Formula: </w:t>
      </w:r>
      <w:r>
        <w:rPr>
          <w:rFonts w:ascii="Calibri" w:hAnsi="Calibri"/>
          <w:color w:val="0F172A"/>
          <w:sz w:val="20"/>
        </w:rPr>
        <w:t>Forecast_Presenze = 0.65 * LightGBM_Presenze + 0.35 * NeuralNet_Presenze</w:t>
      </w:r>
    </w:p>
    <w:p>
      <w:pPr>
        <w:spacing w:after="100" w:line="276" w:lineRule="auto"/>
      </w:pPr>
      <w:r>
        <w:rPr>
          <w:rFonts w:ascii="Calibri" w:hAnsi="Calibri"/>
          <w:color w:val="0F172A"/>
          <w:sz w:val="20"/>
        </w:rPr>
        <w:t>The 90% LightGBM weighting on collection volume provides exceptional stability against localized grocery volume swings, while the 35% neural net weighting on footfall ensures customer adoption curves reflect subtle demographic interaction effects.</w:t>
      </w:r>
    </w:p>
    <w:p>
      <w:pPr>
        <w:pStyle w:val="Heading2"/>
        <w:keepNext/>
        <w:spacing w:before="280" w:after="80"/>
      </w:pPr>
      <w:r>
        <w:rPr>
          <w:rFonts w:ascii="Calibri" w:hAnsi="Calibri"/>
          <w:b/>
          <w:color w:val="198754"/>
          <w:sz w:val="26"/>
        </w:rPr>
        <w:t>4.6 84-Day Calendar Simulation Grid (Seasonal &amp; Weekly Marginalization)</w:t>
      </w:r>
    </w:p>
    <w:p>
      <w:pPr>
        <w:spacing w:after="100" w:line="276" w:lineRule="auto"/>
      </w:pPr>
      <w:r>
        <w:rPr>
          <w:rFonts w:ascii="Calibri" w:hAnsi="Calibri"/>
          <w:color w:val="0F172A"/>
          <w:sz w:val="20"/>
        </w:rPr>
        <w:t>Rather than executing a single static point prediction, the model runs a dynamic marginalization over an 84-day representative annual calendar. The simulation grid evaluates 12 complete 7-day Monday-to-Sunday cycles centered on the second Monday of each month across the forecast year. This generates 84 individual forward inference passes per candidate location, allowing the engine to report both Arithmetic Mean (strictly additive: Mean x 365 = Annual Volume) and Median P50 (steady-state operational baseline immune to holiday closures).</w:t>
      </w:r>
    </w:p>
    <w:p>
      <w:pPr>
        <w:pStyle w:val="Heading1"/>
        <w:keepNext/>
        <w:spacing w:before="360" w:after="120"/>
      </w:pPr>
      <w:r>
        <w:rPr>
          <w:rFonts w:ascii="Calibri" w:hAnsi="Calibri"/>
          <w:b/>
          <w:color w:val="0F5132"/>
          <w:sz w:val="32"/>
        </w:rPr>
        <w:t>5. Retrospective Benchmark &amp; Statistical Probability Profile</w:t>
      </w:r>
    </w:p>
    <w:p>
      <w:pPr>
        <w:spacing w:after="100" w:line="276" w:lineRule="auto"/>
      </w:pPr>
      <w:r>
        <w:rPr>
          <w:rFonts w:ascii="Calibri" w:hAnsi="Calibri"/>
          <w:color w:val="0F172A"/>
          <w:sz w:val="20"/>
        </w:rPr>
        <w:t>The platform features advanced retrospective benchmarking and parametric statistical modeling.</w:t>
      </w:r>
    </w:p>
    <w:p>
      <w:pPr>
        <w:pStyle w:val="Heading2"/>
        <w:keepNext/>
        <w:spacing w:before="280" w:after="80"/>
      </w:pPr>
      <w:r>
        <w:rPr>
          <w:rFonts w:ascii="Calibri" w:hAnsi="Calibri"/>
          <w:b/>
          <w:color w:val="198754"/>
          <w:sz w:val="26"/>
        </w:rPr>
        <w:t>5.1 Section 3.25: Historical Actuals vs. Prospective AI Comparison</w:t>
      </w:r>
    </w:p>
    <w:p>
      <w:pPr>
        <w:spacing w:after="100" w:line="276" w:lineRule="auto"/>
      </w:pPr>
      <w:r>
        <w:rPr>
          <w:rFonts w:ascii="Calibri" w:hAnsi="Calibri"/>
          <w:color w:val="0F172A"/>
          <w:sz w:val="20"/>
        </w:rPr>
        <w:t>For active installed machines, this section connects to `master_daily_rvm` in PostgreSQL to evaluate 24 past months of actual telemetry collections against the 12 forward-looking prospective AI forecast months.</w:t>
      </w:r>
    </w:p>
    <w:tbl>
      <w:tblPr>
        <w:tblW w:type="auto" w:w="0"/>
        <w:jc w:val="center"/>
        <w:tblLayout w:type="fixed"/>
        <w:tblLook w:firstColumn="1" w:firstRow="1" w:lastColumn="0" w:lastRow="0" w:noHBand="0" w:noVBand="1" w:val="04A0"/>
      </w:tblPr>
      <w:tblGrid>
        <w:gridCol w:w="9936"/>
      </w:tblGrid>
      <w:tr>
        <w:tc>
          <w:tcPr>
            <w:tcW w:type="dxa" w:w="9792"/>
            <w:shd w:fill="eff6ff"/>
            <w:tcMar>
              <w:top w:w="130" w:type="dxa"/>
              <w:bottom w:w="130" w:type="dxa"/>
              <w:left w:w="180" w:type="dxa"/>
              <w:right w:w="160" w:type="dxa"/>
            </w:tcMar>
            <w:tcBorders>
              <w:top w:sz="4" w:val="single" w:color="cbd5e1"/>
              <w:left w:sz="24" w:val="single" w:color="0284c7"/>
              <w:bottom w:sz="4" w:val="single" w:color="cbd5e1"/>
              <w:right w:sz="4" w:val="single" w:color="cbd5e1"/>
            </w:tcBorders>
          </w:tcPr>
          <w:p>
            <w:pPr>
              <w:spacing w:before="40" w:after="40" w:line="276" w:lineRule="auto"/>
            </w:pPr>
            <w:r>
              <w:rPr>
                <w:rFonts w:ascii="Calibri" w:hAnsi="Calibri"/>
                <w:b/>
                <w:color w:val="0F5132"/>
                <w:sz w:val="20"/>
              </w:rPr>
              <w:t xml:space="preserve">📌 LIFECYCLE SEPARATION PRINCIPLE: </w:t>
            </w:r>
            <w:r>
              <w:rPr>
                <w:rFonts w:ascii="Calibri" w:hAnsi="Calibri"/>
                <w:color w:val="0F172A"/>
                <w:sz w:val="19"/>
              </w:rPr>
              <w:t>CANDIDATE SITE SUPPRESSION RULE: For uninstalled candidate locations (SPL and POT status), no physical machine is operating on site. The retrospective historical comparison engine is strictly suppressed for SPL and POT sites to prevent misleading flat zero-graphs, ensuring candidate sites are evaluated purely on forward-looking prospective AI simulation.</w:t>
            </w:r>
          </w:p>
        </w:tc>
      </w:tr>
    </w:tbl>
    <w:p>
      <w:pPr>
        <w:spacing w:after="80"/>
      </w:pPr>
    </w:p>
    <w:p>
      <w:pPr>
        <w:pStyle w:val="Heading2"/>
        <w:keepNext/>
        <w:spacing w:before="280" w:after="80"/>
      </w:pPr>
      <w:r>
        <w:rPr>
          <w:rFonts w:ascii="Calibri" w:hAnsi="Calibri"/>
          <w:b/>
          <w:color w:val="198754"/>
          <w:sz w:val="26"/>
        </w:rPr>
        <w:t>5.2 Section 3.5: Statistical Probability &amp; Future Performance Profile</w:t>
      </w:r>
    </w:p>
    <w:p>
      <w:pPr>
        <w:spacing w:after="100" w:line="276" w:lineRule="auto"/>
      </w:pPr>
      <w:r>
        <w:rPr>
          <w:rFonts w:ascii="Calibri" w:hAnsi="Calibri"/>
          <w:color w:val="0F172A"/>
          <w:sz w:val="20"/>
        </w:rPr>
        <w:t>Calibrated to empirical network variance, this section provides parametric risk modeling and volume distribution analysis:</w:t>
      </w:r>
    </w:p>
    <w:p>
      <w:pPr>
        <w:pStyle w:val="Heading3"/>
        <w:keepNext/>
        <w:spacing w:before="200" w:after="40"/>
      </w:pPr>
      <w:r>
        <w:rPr>
          <w:rFonts w:ascii="Calibri" w:hAnsi="Calibri"/>
          <w:b/>
          <w:color w:val="0F172A"/>
          <w:sz w:val="22"/>
        </w:rPr>
        <w:t>5.2.1 Capital Safety &amp; Value-at-Risk 80% Band</w:t>
      </w:r>
    </w:p>
    <w:p>
      <w:pPr>
        <w:pStyle w:val="ListBullet"/>
        <w:spacing w:after="60" w:line="276" w:lineRule="auto"/>
      </w:pPr>
      <w:r>
        <w:rPr>
          <w:rFonts w:ascii="Calibri" w:hAnsi="Calibri"/>
          <w:b/>
          <w:color w:val="0F172A"/>
          <w:sz w:val="20"/>
        </w:rPr>
        <w:t xml:space="preserve">• 🛡️ Capital Safety (%): </w:t>
      </w:r>
      <w:r>
        <w:rPr>
          <w:rFonts w:ascii="Calibri" w:hAnsi="Calibri"/>
          <w:color w:val="0F172A"/>
          <w:sz w:val="20"/>
        </w:rPr>
        <w:t>Evaluates probability of exceeding the 250 b/d operational breakeven threshold. Rated as Very Low Risk, Low Risk, Moderate Risk, or Elevated Risk.</w:t>
      </w:r>
    </w:p>
    <w:p>
      <w:pPr>
        <w:pStyle w:val="ListBullet"/>
        <w:spacing w:after="60" w:line="276" w:lineRule="auto"/>
      </w:pPr>
      <w:r>
        <w:rPr>
          <w:rFonts w:ascii="Calibri" w:hAnsi="Calibri"/>
          <w:b/>
          <w:color w:val="0F172A"/>
          <w:sz w:val="20"/>
        </w:rPr>
        <w:t xml:space="preserve">• 📉 Downside Floor (P10): </w:t>
      </w:r>
      <w:r>
        <w:rPr>
          <w:rFonts w:ascii="Calibri" w:hAnsi="Calibri"/>
          <w:color w:val="0F172A"/>
          <w:sz w:val="20"/>
        </w:rPr>
        <w:t>90% statistical exceedance floor (P10). Daily bottles and monthly volume that the machine is virtually guaranteed to exceed 9 days out of 10.</w:t>
      </w:r>
    </w:p>
    <w:p>
      <w:pPr>
        <w:pStyle w:val="ListBullet"/>
        <w:spacing w:after="60" w:line="276" w:lineRule="auto"/>
      </w:pPr>
      <w:r>
        <w:rPr>
          <w:rFonts w:ascii="Calibri" w:hAnsi="Calibri"/>
          <w:b/>
          <w:color w:val="0F172A"/>
          <w:sz w:val="20"/>
        </w:rPr>
        <w:t xml:space="preserve">• 📈 Upside Ceiling (P90): </w:t>
      </w:r>
      <w:r>
        <w:rPr>
          <w:rFonts w:ascii="Calibri" w:hAnsi="Calibri"/>
          <w:color w:val="0F172A"/>
          <w:sz w:val="20"/>
        </w:rPr>
        <w:t>Top 10% peak upside potential (P90). Daily bottles and monthly volume achievable during peak seasonal and marketing campaigns.</w:t>
      </w:r>
    </w:p>
    <w:p>
      <w:pPr>
        <w:pStyle w:val="Heading3"/>
        <w:keepNext/>
        <w:spacing w:before="200" w:after="40"/>
      </w:pPr>
      <w:r>
        <w:rPr>
          <w:rFonts w:ascii="Calibri" w:hAnsi="Calibri"/>
          <w:b/>
          <w:color w:val="0F172A"/>
          <w:sz w:val="22"/>
        </w:rPr>
        <w:t>5.2.2 Official Volume Performance Classification Table</w:t>
      </w:r>
    </w:p>
    <w:p>
      <w:pPr>
        <w:spacing w:after="100" w:line="276" w:lineRule="auto"/>
      </w:pPr>
      <w:r>
        <w:rPr>
          <w:rFonts w:ascii="Calibri" w:hAnsi="Calibri"/>
          <w:color w:val="0F172A"/>
          <w:sz w:val="20"/>
        </w:rPr>
        <w:t>Presents the single authoritative probability distribution table across Coripet's four official volume performance tiers (sums to 100%):</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3168"/>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Volume Tier &amp; Strategic Role</w:t>
            </w:r>
          </w:p>
        </w:tc>
        <w:tc>
          <w:tcPr>
            <w:tcW w:type="dxa" w:w="1728"/>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Daily Throughput</w:t>
            </w:r>
          </w:p>
        </w:tc>
        <w:tc>
          <w:tcPr>
            <w:tcW w:type="dxa" w:w="2304"/>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Annual Output (365d)</w:t>
            </w:r>
          </w:p>
        </w:tc>
        <w:tc>
          <w:tcPr>
            <w:tcW w:type="dxa" w:w="1440"/>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Probability %</w:t>
            </w:r>
          </w:p>
        </w:tc>
        <w:tc>
          <w:tcPr>
            <w:tcW w:type="dxa" w:w="1440"/>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Dominant Badge</w:t>
            </w:r>
          </w:p>
        </w:tc>
      </w:tr>
      <w:tr>
        <w:tc>
          <w:tcPr>
            <w:tcW w:type="dxa" w:w="316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Basso Prendente (Low Yield) • Cost review advised</w:t>
            </w:r>
          </w:p>
        </w:tc>
        <w:tc>
          <w:tcPr>
            <w:tcW w:type="dxa" w:w="172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&lt; 300 b/d</w:t>
            </w:r>
          </w:p>
        </w:tc>
        <w:tc>
          <w:tcPr>
            <w:tcW w:type="dxa" w:w="230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&lt; 109,500 bottles/year</w:t>
            </w:r>
          </w:p>
        </w:tc>
        <w:tc>
          <w:tcPr>
            <w:tcW w:type="dxa" w:w="144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P(Basso) %</w:t>
            </w:r>
          </w:p>
        </w:tc>
        <w:tc>
          <w:tcPr>
            <w:tcW w:type="dxa" w:w="144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DOMINANT if highest</w:t>
            </w:r>
          </w:p>
        </w:tc>
      </w:tr>
      <w:tr>
        <w:tc>
          <w:tcPr>
            <w:tcW w:type="dxa" w:w="316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Medio Prendente (Standard Yield) • Core sustainable baseline</w:t>
            </w:r>
          </w:p>
        </w:tc>
        <w:tc>
          <w:tcPr>
            <w:tcW w:type="dxa" w:w="172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300 – 1,000 b/d</w:t>
            </w:r>
          </w:p>
        </w:tc>
        <w:tc>
          <w:tcPr>
            <w:tcW w:type="dxa" w:w="230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109,500 – 365,000 bottles/year</w:t>
            </w:r>
          </w:p>
        </w:tc>
        <w:tc>
          <w:tcPr>
            <w:tcW w:type="dxa" w:w="144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P(Medio) %</w:t>
            </w:r>
          </w:p>
        </w:tc>
        <w:tc>
          <w:tcPr>
            <w:tcW w:type="dxa" w:w="144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DOMINANT if highest</w:t>
            </w:r>
          </w:p>
        </w:tc>
      </w:tr>
      <w:tr>
        <w:tc>
          <w:tcPr>
            <w:tcW w:type="dxa" w:w="316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Alto Prendente (High Yield) • Top commercial performer</w:t>
            </w:r>
          </w:p>
        </w:tc>
        <w:tc>
          <w:tcPr>
            <w:tcW w:type="dxa" w:w="172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1,000 – 2,000 b/d</w:t>
            </w:r>
          </w:p>
        </w:tc>
        <w:tc>
          <w:tcPr>
            <w:tcW w:type="dxa" w:w="230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365,000 – 730,000 bottles/year</w:t>
            </w:r>
          </w:p>
        </w:tc>
        <w:tc>
          <w:tcPr>
            <w:tcW w:type="dxa" w:w="144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P(Alto) %</w:t>
            </w:r>
          </w:p>
        </w:tc>
        <w:tc>
          <w:tcPr>
            <w:tcW w:type="dxa" w:w="144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DOMINANT if highest</w:t>
            </w:r>
          </w:p>
        </w:tc>
      </w:tr>
      <w:tr>
        <w:tc>
          <w:tcPr>
            <w:tcW w:type="dxa" w:w="316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Super Prendente (Super Anchor) • Strategic hub of excellence</w:t>
            </w:r>
          </w:p>
        </w:tc>
        <w:tc>
          <w:tcPr>
            <w:tcW w:type="dxa" w:w="172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&gt; 2,000 b/d</w:t>
            </w:r>
          </w:p>
        </w:tc>
        <w:tc>
          <w:tcPr>
            <w:tcW w:type="dxa" w:w="230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&gt; 730,000 bottles/year</w:t>
            </w:r>
          </w:p>
        </w:tc>
        <w:tc>
          <w:tcPr>
            <w:tcW w:type="dxa" w:w="144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P(Super) %</w:t>
            </w:r>
          </w:p>
        </w:tc>
        <w:tc>
          <w:tcPr>
            <w:tcW w:type="dxa" w:w="144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DOMINANT if highest</w:t>
            </w:r>
          </w:p>
        </w:tc>
      </w:tr>
    </w:tbl>
    <w:p>
      <w:pPr>
        <w:spacing w:after="80"/>
      </w:pPr>
    </w:p>
    <w:p>
      <w:pPr>
        <w:pStyle w:val="Heading3"/>
        <w:keepNext/>
        <w:spacing w:before="200" w:after="40"/>
      </w:pPr>
      <w:r>
        <w:rPr>
          <w:rFonts w:ascii="Calibri" w:hAnsi="Calibri"/>
          <w:b/>
          <w:color w:val="0F172A"/>
          <w:sz w:val="22"/>
        </w:rPr>
        <w:t>5.2.3 AI Hardware Fit &amp; Capacity Certification</w:t>
      </w:r>
    </w:p>
    <w:p>
      <w:pPr>
        <w:spacing w:after="100" w:line="276" w:lineRule="auto"/>
      </w:pPr>
      <w:r>
        <w:rPr>
          <w:rFonts w:ascii="Calibri" w:hAnsi="Calibri"/>
          <w:color w:val="0F172A"/>
          <w:sz w:val="20"/>
        </w:rPr>
        <w:t>Compares the physical compactor storage capacity of the selected machine against projected volume: storage capacity (bottles and kg PET), daily saturation limit (b/d), daily overflow risk percentage, autonomous storage buffer in days, and recommended servicing rhythm. If overflow risk exceeds 20% or projected volume exceeds saturation limit, the system triggers a 'CAPACITY BOTTLENECK DETECTED' banner and advises upgrading to Daint G or Ripet C-Front (4,500 bottles).</w:t>
      </w:r>
    </w:p>
    <w:p>
      <w:pPr>
        <w:pStyle w:val="Heading1"/>
        <w:keepNext/>
        <w:spacing w:before="360" w:after="120"/>
      </w:pPr>
      <w:r>
        <w:rPr>
          <w:rFonts w:ascii="Calibri" w:hAnsi="Calibri"/>
          <w:b/>
          <w:color w:val="0F5132"/>
          <w:sz w:val="32"/>
        </w:rPr>
        <w:t>6. Commercial Sensitivity, Clearance Gates &amp; Growth Levers</w:t>
      </w:r>
    </w:p>
    <w:p>
      <w:pPr>
        <w:spacing w:after="100" w:line="276" w:lineRule="auto"/>
      </w:pPr>
      <w:r>
        <w:rPr>
          <w:rFonts w:ascii="Calibri" w:hAnsi="Calibri"/>
          <w:color w:val="0F172A"/>
          <w:sz w:val="20"/>
        </w:rPr>
        <w:t>The remaining sections of Step 4 provide deep commercial analytics, operational gatekeeping, and volume growth strategies.</w:t>
      </w:r>
    </w:p>
    <w:p>
      <w:pPr>
        <w:pStyle w:val="Heading2"/>
        <w:keepNext/>
        <w:spacing w:before="280" w:after="80"/>
      </w:pPr>
      <w:r>
        <w:rPr>
          <w:rFonts w:ascii="Calibri" w:hAnsi="Calibri"/>
          <w:b/>
          <w:color w:val="198754"/>
          <w:sz w:val="26"/>
        </w:rPr>
        <w:t>6.1 Section 4 &amp; 4.5: Commercial Rewards &amp; Sensitivity Matrix</w:t>
      </w:r>
    </w:p>
    <w:p>
      <w:pPr>
        <w:spacing w:after="100" w:line="276" w:lineRule="auto"/>
      </w:pPr>
      <w:r>
        <w:rPr>
          <w:rFonts w:ascii="Calibri" w:hAnsi="Calibri"/>
          <w:color w:val="0F172A"/>
          <w:sz w:val="20"/>
        </w:rPr>
        <w:t>Section 4 displays the active Commercial Rewards &amp; Filiera Intelligence (circuit, incentive tier, incentive strength, voucher terms) alongside the Spatial Catchment &amp; Local Network Density card (nearest Coripet distance, network position, machines in 3km, competitive grocery stores). Section 4.5 renders the Promotional Reward Sensitivity &amp; Impact Matrix table, comparing all reward policy options (Daily bottles, Monthly volume, Active footfall, and Variance vs Selected %) with the currently selected promotion highlighted in green.</w:t>
      </w:r>
    </w:p>
    <w:p>
      <w:pPr>
        <w:pStyle w:val="Heading2"/>
        <w:keepNext/>
        <w:spacing w:before="280" w:after="80"/>
      </w:pPr>
      <w:r>
        <w:rPr>
          <w:rFonts w:ascii="Calibri" w:hAnsi="Calibri"/>
          <w:b/>
          <w:color w:val="198754"/>
          <w:sz w:val="26"/>
        </w:rPr>
        <w:t>6.2 Section 5: Operational Clearance Gates (Core 6 Gates)</w:t>
      </w:r>
    </w:p>
    <w:p>
      <w:pPr>
        <w:spacing w:after="100" w:line="276" w:lineRule="auto"/>
      </w:pPr>
      <w:r>
        <w:rPr>
          <w:rFonts w:ascii="Calibri" w:hAnsi="Calibri"/>
          <w:color w:val="0F172A"/>
          <w:sz w:val="20"/>
        </w:rPr>
        <w:t>The clearance engine evaluates candidate sites across the six core operational gates: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Gate Key</w:t>
            </w:r>
          </w:p>
        </w:tc>
        <w:tc>
          <w:tcPr>
            <w:tcW w:type="dxa" w:w="2304"/>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Clearance Gate Name</w:t>
            </w:r>
          </w:p>
        </w:tc>
        <w:tc>
          <w:tcPr>
            <w:tcW w:type="dxa" w:w="3888"/>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Evaluation Metric &amp; Threshold</w:t>
            </w:r>
          </w:p>
        </w:tc>
        <w:tc>
          <w:tcPr>
            <w:tcW w:type="dxa" w:w="1728"/>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Gate Statuses</w:t>
            </w:r>
          </w:p>
        </w:tc>
      </w:tr>
      <w:tr>
        <w:tc>
          <w:tcPr>
            <w:tcW w:type="dxa" w:w="216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cannibalization_gate</w:t>
            </w:r>
          </w:p>
        </w:tc>
        <w:tc>
          <w:tcPr>
            <w:tcW w:type="dxa" w:w="230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Spatial Cannibalization</w:t>
            </w:r>
          </w:p>
        </w:tc>
        <w:tc>
          <w:tcPr>
            <w:tcW w:type="dxa" w:w="388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Evaluates distance to nearest active Coripet RVM and catchment dilution penalty (&lt;750m warns, &lt;250m fails).</w:t>
            </w:r>
          </w:p>
        </w:tc>
        <w:tc>
          <w:tcPr>
            <w:tcW w:type="dxa" w:w="172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PASS | WARN | FAIL</w:t>
            </w:r>
          </w:p>
        </w:tc>
      </w:tr>
      <w:tr>
        <w:tc>
          <w:tcPr>
            <w:tcW w:type="dxa" w:w="216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economic_volume_gate</w:t>
            </w:r>
          </w:p>
        </w:tc>
        <w:tc>
          <w:tcPr>
            <w:tcW w:type="dxa" w:w="230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Economic Breakeven</w:t>
            </w:r>
          </w:p>
        </w:tc>
        <w:tc>
          <w:tcPr>
            <w:tcW w:type="dxa" w:w="388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Strictly anchored to 250 b/d operational breakeven floor. Calculates exact volume deficit or surplus in b/d and b/mo.</w:t>
            </w:r>
          </w:p>
        </w:tc>
        <w:tc>
          <w:tcPr>
            <w:tcW w:type="dxa" w:w="172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PASS | WARN | FAIL</w:t>
            </w:r>
          </w:p>
        </w:tc>
      </w:tr>
      <w:tr>
        <w:tc>
          <w:tcPr>
            <w:tcW w:type="dxa" w:w="216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store_format_gate</w:t>
            </w:r>
          </w:p>
        </w:tc>
        <w:tc>
          <w:tcPr>
            <w:tcW w:type="dxa" w:w="230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Store Format &amp; Scale</w:t>
            </w:r>
          </w:p>
        </w:tc>
        <w:tc>
          <w:tcPr>
            <w:tcW w:type="dxa" w:w="388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Validates sales floor area (&gt;=300 m²) and active cash registers (&gt;=3 checkouts).</w:t>
            </w:r>
          </w:p>
        </w:tc>
        <w:tc>
          <w:tcPr>
            <w:tcW w:type="dxa" w:w="172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PASS | WARN | FAIL</w:t>
            </w:r>
          </w:p>
        </w:tc>
      </w:tr>
      <w:tr>
        <w:tc>
          <w:tcPr>
            <w:tcW w:type="dxa" w:w="216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demographic_gate</w:t>
            </w:r>
          </w:p>
        </w:tc>
        <w:tc>
          <w:tcPr>
            <w:tcW w:type="dxa" w:w="230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Demographic Catchment</w:t>
            </w:r>
          </w:p>
        </w:tc>
        <w:tc>
          <w:tcPr>
            <w:tcW w:type="dxa" w:w="388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Evaluates municipal resident population (&gt;=5,000) and population density (&gt;=150 ab/km²).</w:t>
            </w:r>
          </w:p>
        </w:tc>
        <w:tc>
          <w:tcPr>
            <w:tcW w:type="dxa" w:w="172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PASS | WARN | FAIL</w:t>
            </w:r>
          </w:p>
        </w:tc>
      </w:tr>
      <w:tr>
        <w:tc>
          <w:tcPr>
            <w:tcW w:type="dxa" w:w="216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hardware_sizing_gate</w:t>
            </w:r>
          </w:p>
        </w:tc>
        <w:tc>
          <w:tcPr>
            <w:tcW w:type="dxa" w:w="230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Hardware Sizing Match</w:t>
            </w:r>
          </w:p>
        </w:tc>
        <w:tc>
          <w:tcPr>
            <w:tcW w:type="dxa" w:w="388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Ensures machine capacity matches projected volume (eliminates oversized heavy units on low volume or compact units on high volume).</w:t>
            </w:r>
          </w:p>
        </w:tc>
        <w:tc>
          <w:tcPr>
            <w:tcW w:type="dxa" w:w="172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PASS | WARN | FAIL</w:t>
            </w:r>
          </w:p>
        </w:tc>
      </w:tr>
      <w:tr>
        <w:tc>
          <w:tcPr>
            <w:tcW w:type="dxa" w:w="216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logistics_feasibility_gate</w:t>
            </w:r>
          </w:p>
        </w:tc>
        <w:tc>
          <w:tcPr>
            <w:tcW w:type="dxa" w:w="230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Logistics Servicing Route</w:t>
            </w:r>
          </w:p>
        </w:tc>
        <w:tc>
          <w:tcPr>
            <w:tcW w:type="dxa" w:w="388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Validates distance from regional logistics depot to ensure economic collection servicing (&lt;25 km standard).</w:t>
            </w:r>
          </w:p>
        </w:tc>
        <w:tc>
          <w:tcPr>
            <w:tcW w:type="dxa" w:w="172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PASS | WARN | FAIL</w:t>
            </w:r>
          </w:p>
        </w:tc>
      </w:tr>
    </w:tbl>
    <w:p>
      <w:pPr>
        <w:spacing w:after="80"/>
      </w:pPr>
    </w:p>
    <w:p>
      <w:pPr>
        <w:spacing w:after="100" w:line="276" w:lineRule="auto"/>
      </w:pPr>
      <w:r>
        <w:rPr>
          <w:rFonts w:ascii="Calibri" w:hAnsi="Calibri"/>
          <w:color w:val="0F172A"/>
          <w:sz w:val="20"/>
        </w:rPr>
        <w:t>An Underwriting Verdict Banner synthesizes the gate outcomes into an executive verdict: 'UNCONDITIONAL CLEARANCE: Site Fully Approved For Deployment' (all gates passed), 'CONDITIONAL CLEARANCE: Operational &amp; Sizing Optimization Advised' (warnings present), or 'DEPLOYMENT CONDITIONAL / REJECTED: Capital Protection Gate Failed' (one or more critical gates failed).</w:t>
      </w:r>
    </w:p>
    <w:p>
      <w:pPr>
        <w:pStyle w:val="Heading2"/>
        <w:keepNext/>
        <w:spacing w:before="280" w:after="80"/>
      </w:pPr>
      <w:r>
        <w:rPr>
          <w:rFonts w:ascii="Calibri" w:hAnsi="Calibri"/>
          <w:b/>
          <w:color w:val="198754"/>
          <w:sz w:val="26"/>
        </w:rPr>
        <w:t>6.3 Section 6: 12-Month Rolling Operational Intake Profile</w:t>
      </w:r>
    </w:p>
    <w:p>
      <w:pPr>
        <w:spacing w:after="100" w:line="276" w:lineRule="auto"/>
      </w:pPr>
      <w:r>
        <w:rPr>
          <w:rFonts w:ascii="Calibri" w:hAnsi="Calibri"/>
          <w:color w:val="0F172A"/>
          <w:sz w:val="20"/>
        </w:rPr>
        <w:t>Renders an interactive Plotly monthly collection trajectory starting from the confirmed Go-Live Month and Year. Incorporates a 3-month adoption ramp-up curve (Month 1: 50%, Month 2: 75%, Month 3: 90%, Month 4+: 100% steady state) multiplied by monthly seasonal hydration indices (summer peak vs. winter baseline). Includes an expandable data table detailing daily and monthly targets, maturity percentage, lifecycle stage, and seasonal context.</w:t>
      </w:r>
    </w:p>
    <w:p>
      <w:pPr>
        <w:pStyle w:val="Heading2"/>
        <w:keepNext/>
        <w:spacing w:before="280" w:after="80"/>
      </w:pPr>
      <w:r>
        <w:rPr>
          <w:rFonts w:ascii="Calibri" w:hAnsi="Calibri"/>
          <w:b/>
          <w:color w:val="198754"/>
          <w:sz w:val="26"/>
        </w:rPr>
        <w:t>6.4 Section 7: Prediction Methodology &amp; Strategic Growth Levers</w:t>
      </w:r>
    </w:p>
    <w:p>
      <w:pPr>
        <w:spacing w:after="100" w:line="276" w:lineRule="auto"/>
      </w:pPr>
      <w:r>
        <w:rPr>
          <w:rFonts w:ascii="Calibri" w:hAnsi="Calibri"/>
          <w:color w:val="0F172A"/>
          <w:sz w:val="20"/>
        </w:rPr>
        <w:t>The final section of Step 4 is split into two deep intelligence cards:</w:t>
      </w:r>
    </w:p>
    <w:p>
      <w:pPr>
        <w:pStyle w:val="ListBullet"/>
        <w:spacing w:after="60" w:line="276" w:lineRule="auto"/>
      </w:pPr>
      <w:r>
        <w:rPr>
          <w:rFonts w:ascii="Calibri" w:hAnsi="Calibri"/>
          <w:b/>
          <w:color w:val="0F172A"/>
          <w:sz w:val="20"/>
        </w:rPr>
        <w:t xml:space="preserve">• 🧠 How This Prediction Was Calculated: </w:t>
      </w:r>
      <w:r>
        <w:rPr>
          <w:rFonts w:ascii="Calibri" w:hAnsi="Calibri"/>
          <w:color w:val="0F172A"/>
          <w:sz w:val="20"/>
        </w:rPr>
        <w:t>Details the 4-stage pipeline: (1) Geospatial &amp; Nielsen Retail Scale Driver (m², casse, ISTAT population, density, PIL), (2) Dual AI Ensemble &amp; Brand Embeddings (LightGBM + NeuralNet weights and brand equity), (3) Spatial Catchment &amp; Network Dilution (nearest distance, network density, grocery competition, dilution haircut), and (4) Promotional Multiplier &amp; Operational Underwriting.</w:t>
      </w:r>
    </w:p>
    <w:p>
      <w:pPr>
        <w:pStyle w:val="ListBullet"/>
        <w:spacing w:after="60" w:line="276" w:lineRule="auto"/>
      </w:pPr>
      <w:r>
        <w:rPr>
          <w:rFonts w:ascii="Calibri" w:hAnsi="Calibri"/>
          <w:b/>
          <w:color w:val="0F172A"/>
          <w:sz w:val="20"/>
        </w:rPr>
        <w:t xml:space="preserve">• 🚀 How to Increase This Prediction Number: </w:t>
      </w:r>
      <w:r>
        <w:rPr>
          <w:rFonts w:ascii="Calibri" w:hAnsi="Calibri"/>
          <w:color w:val="0F172A"/>
          <w:sz w:val="20"/>
        </w:rPr>
        <w:t>Presents four dynamic operational levers to shift actual store throughput toward the P90 Upside Ceiling: (1) Promotional Policy Strategy &amp; Gamification, (2) Hardware Capacity &amp; Pre-Weekend Bag-Swap Protocol, (3) Spatial Catchment Defense &amp; Exclusive Rewards, and (4) Store Format Lobby Placement &amp; Wayfinding Directionals.</w:t>
      </w:r>
    </w:p>
    <w:p>
      <w:pPr>
        <w:pStyle w:val="Heading1"/>
        <w:keepNext/>
        <w:spacing w:before="360" w:after="120"/>
      </w:pPr>
      <w:r>
        <w:rPr>
          <w:rFonts w:ascii="Calibri" w:hAnsi="Calibri"/>
          <w:b/>
          <w:color w:val="0F5132"/>
          <w:sz w:val="32"/>
        </w:rPr>
        <w:t>7. Tabs 2 &amp; 3: SPL and POT Candidate Site Directories</w:t>
      </w:r>
    </w:p>
    <w:p>
      <w:pPr>
        <w:spacing w:after="100" w:line="276" w:lineRule="auto"/>
      </w:pPr>
      <w:r>
        <w:rPr>
          <w:rFonts w:ascii="Calibri" w:hAnsi="Calibri"/>
          <w:color w:val="0F172A"/>
          <w:sz w:val="20"/>
        </w:rPr>
        <w:t>Tabs 2 and 3 provide live enterprise directories of Coripet candidate locations across Italy. Tab 2 (`📋 SPL Machines`) displays approved candidate sites that have completed on-site technical inspection (Sopralluogo Completato). Tab 3 (`💡 POT Machines`) houses early-stage prospective pipeline locations (Potenziale status) undergoing pre-inspection economic screening.</w:t>
      </w:r>
    </w:p>
    <w:p>
      <w:pPr>
        <w:pStyle w:val="Heading2"/>
        <w:keepNext/>
        <w:spacing w:before="280" w:after="80"/>
      </w:pPr>
      <w:r>
        <w:rPr>
          <w:rFonts w:ascii="Calibri" w:hAnsi="Calibri"/>
          <w:b/>
          <w:color w:val="198754"/>
          <w:sz w:val="26"/>
        </w:rPr>
        <w:t>7.1 Live Coripet REST API Ingestion &amp; Commercial Grocery Filtering</w:t>
      </w:r>
    </w:p>
    <w:p>
      <w:pPr>
        <w:spacing w:after="100" w:line="276" w:lineRule="auto"/>
      </w:pPr>
      <w:r>
        <w:rPr>
          <w:rFonts w:ascii="Calibri" w:hAnsi="Calibri"/>
          <w:color w:val="0F172A"/>
          <w:sz w:val="20"/>
        </w:rPr>
        <w:t>The directories ingest live records from the official Coripet REST API (macchine.coripet.it) through two coordinated endpoints: `mt_CaricaMacchine` (master site registry) and `mt_CaricaSopralluoghi` (inspection dates and statuses). To ensure commercial relevance, records are strictly filtered to `TipoPunto == 'PUNTOVENDITA'`, eliminating non-retail and administrative testing locations. If the central API is unreachable, the engine seamlessly falls back to local backup caches.</w:t>
      </w:r>
    </w:p>
    <w:p>
      <w:pPr>
        <w:pStyle w:val="Heading2"/>
        <w:keepNext/>
        <w:spacing w:before="280" w:after="80"/>
      </w:pPr>
      <w:r>
        <w:rPr>
          <w:rFonts w:ascii="Calibri" w:hAnsi="Calibri"/>
          <w:b/>
          <w:color w:val="198754"/>
          <w:sz w:val="26"/>
        </w:rPr>
        <w:t>7.2 Survey Recency Filtering (Last 5 Months Prioritization)</w:t>
      </w:r>
    </w:p>
    <w:p>
      <w:pPr>
        <w:spacing w:after="100" w:line="276" w:lineRule="auto"/>
      </w:pPr>
      <w:r>
        <w:rPr>
          <w:rFonts w:ascii="Calibri" w:hAnsi="Calibri"/>
          <w:color w:val="0F172A"/>
          <w:sz w:val="20"/>
        </w:rPr>
        <w:t>To enable operations teams to immediately focus on newly surveyed locations, the Survey Recency filter is positioned prominently with recent periods prioritized:</w:t>
      </w:r>
    </w:p>
    <w:p>
      <w:pPr>
        <w:pStyle w:val="ListBullet"/>
        <w:spacing w:after="60" w:line="276" w:lineRule="auto"/>
      </w:pPr>
      <w:r>
        <w:rPr>
          <w:rFonts w:ascii="Calibri" w:hAnsi="Calibri"/>
          <w:b/>
          <w:color w:val="0F172A"/>
          <w:sz w:val="20"/>
        </w:rPr>
        <w:t xml:space="preserve">• ⏱️ Last 5 Months (Top Priority): </w:t>
      </w:r>
      <w:r>
        <w:rPr>
          <w:rFonts w:ascii="Calibri" w:hAnsi="Calibri"/>
          <w:color w:val="0F172A"/>
          <w:sz w:val="20"/>
        </w:rPr>
        <w:t>Positioned at the top of the selector. Isolates candidate sites surveyed within the last 150 days for immediate hardware deployment scheduling.</w:t>
      </w:r>
    </w:p>
    <w:p>
      <w:pPr>
        <w:pStyle w:val="ListBullet"/>
        <w:spacing w:after="60" w:line="276" w:lineRule="auto"/>
      </w:pPr>
      <w:r>
        <w:rPr>
          <w:rFonts w:ascii="Calibri" w:hAnsi="Calibri"/>
          <w:b/>
          <w:color w:val="0F172A"/>
          <w:sz w:val="20"/>
        </w:rPr>
        <w:t xml:space="preserve">• 📅 Last 12 Months: </w:t>
      </w:r>
      <w:r>
        <w:rPr>
          <w:rFonts w:ascii="Calibri" w:hAnsi="Calibri"/>
          <w:color w:val="0F172A"/>
          <w:sz w:val="20"/>
        </w:rPr>
        <w:t>Isolates sites surveyed within the past calendar year.</w:t>
      </w:r>
    </w:p>
    <w:p>
      <w:pPr>
        <w:pStyle w:val="ListBullet"/>
        <w:spacing w:after="60" w:line="276" w:lineRule="auto"/>
      </w:pPr>
      <w:r>
        <w:rPr>
          <w:rFonts w:ascii="Calibri" w:hAnsi="Calibri"/>
          <w:b/>
          <w:color w:val="0F172A"/>
          <w:sz w:val="20"/>
        </w:rPr>
        <w:t xml:space="preserve">• 🗓️ Last 24 Months: </w:t>
      </w:r>
      <w:r>
        <w:rPr>
          <w:rFonts w:ascii="Calibri" w:hAnsi="Calibri"/>
          <w:color w:val="0F172A"/>
          <w:sz w:val="20"/>
        </w:rPr>
        <w:t>Displays multi-year prospective pipeline candidates.</w:t>
      </w:r>
    </w:p>
    <w:p>
      <w:pPr>
        <w:pStyle w:val="ListBullet"/>
        <w:spacing w:after="60" w:line="276" w:lineRule="auto"/>
      </w:pPr>
      <w:r>
        <w:rPr>
          <w:rFonts w:ascii="Calibri" w:hAnsi="Calibri"/>
          <w:b/>
          <w:color w:val="0F172A"/>
          <w:sz w:val="20"/>
        </w:rPr>
        <w:t xml:space="preserve">• 🌐 All Sites: </w:t>
      </w:r>
      <w:r>
        <w:rPr>
          <w:rFonts w:ascii="Calibri" w:hAnsi="Calibri"/>
          <w:color w:val="0F172A"/>
          <w:sz w:val="20"/>
        </w:rPr>
        <w:t>Displays the entire cumulative candidate registry.</w:t>
      </w:r>
    </w:p>
    <w:p>
      <w:pPr>
        <w:pStyle w:val="Heading2"/>
        <w:keepNext/>
        <w:spacing w:before="280" w:after="80"/>
      </w:pPr>
      <w:r>
        <w:rPr>
          <w:rFonts w:ascii="Calibri" w:hAnsi="Calibri"/>
          <w:b/>
          <w:color w:val="198754"/>
          <w:sz w:val="26"/>
        </w:rPr>
        <w:t>7.3 Batch Predictive AI Ranking &amp; Volume Tiers</w:t>
      </w:r>
    </w:p>
    <w:p>
      <w:pPr>
        <w:spacing w:after="100" w:line="276" w:lineRule="auto"/>
      </w:pPr>
      <w:r>
        <w:rPr>
          <w:rFonts w:ascii="Calibri" w:hAnsi="Calibri"/>
          <w:color w:val="0F172A"/>
          <w:sz w:val="20"/>
        </w:rPr>
        <w:t>Every candidate site in the directory is processed through the full AI predictive engine and ranked in descending order of daily collection yield. Each store is assigned an official Volume Classification Tier:</w:t>
      </w:r>
    </w:p>
    <w:p>
      <w:pPr>
        <w:pStyle w:val="ListBullet"/>
        <w:spacing w:after="60" w:line="276" w:lineRule="auto"/>
      </w:pPr>
      <w:r>
        <w:rPr>
          <w:rFonts w:ascii="Calibri" w:hAnsi="Calibri"/>
          <w:b/>
          <w:color w:val="0F172A"/>
          <w:sz w:val="20"/>
        </w:rPr>
        <w:t xml:space="preserve">• 🟣 Super Prendente: </w:t>
      </w:r>
      <w:r>
        <w:rPr>
          <w:rFonts w:ascii="Calibri" w:hAnsi="Calibri"/>
          <w:color w:val="0F172A"/>
          <w:sz w:val="20"/>
        </w:rPr>
        <w:t>&gt; 2,000 b/d (&gt; 60,000 b/mo). Tier 1 Strategic Anchor. Priority allocation for Daint G or Ripet C-Front.</w:t>
      </w:r>
    </w:p>
    <w:p>
      <w:pPr>
        <w:pStyle w:val="ListBullet"/>
        <w:spacing w:after="60" w:line="276" w:lineRule="auto"/>
      </w:pPr>
      <w:r>
        <w:rPr>
          <w:rFonts w:ascii="Calibri" w:hAnsi="Calibri"/>
          <w:b/>
          <w:color w:val="0F172A"/>
          <w:sz w:val="20"/>
        </w:rPr>
        <w:t xml:space="preserve">• 🟢 Alto Prendente: </w:t>
      </w:r>
      <w:r>
        <w:rPr>
          <w:rFonts w:ascii="Calibri" w:hAnsi="Calibri"/>
          <w:color w:val="0F172A"/>
          <w:sz w:val="20"/>
        </w:rPr>
        <w:t>1,000 – 2,000 b/d (30,000 – 60,000 b/mo). Tier 2 High Yield supermarket location.</w:t>
      </w:r>
    </w:p>
    <w:p>
      <w:pPr>
        <w:pStyle w:val="ListBullet"/>
        <w:spacing w:after="60" w:line="276" w:lineRule="auto"/>
      </w:pPr>
      <w:r>
        <w:rPr>
          <w:rFonts w:ascii="Calibri" w:hAnsi="Calibri"/>
          <w:b/>
          <w:color w:val="0F172A"/>
          <w:sz w:val="20"/>
        </w:rPr>
        <w:t xml:space="preserve">• 🔵 Medio Prendente: </w:t>
      </w:r>
      <w:r>
        <w:rPr>
          <w:rFonts w:ascii="Calibri" w:hAnsi="Calibri"/>
          <w:color w:val="0F172A"/>
          <w:sz w:val="20"/>
        </w:rPr>
        <w:t>300 – 1,000 b/d (9,000 – 30,000 b/mo). Tier 3 Solid Contributor standard neighborhood baseline.</w:t>
      </w:r>
    </w:p>
    <w:p>
      <w:pPr>
        <w:pStyle w:val="ListBullet"/>
        <w:spacing w:after="60" w:line="276" w:lineRule="auto"/>
      </w:pPr>
      <w:r>
        <w:rPr>
          <w:rFonts w:ascii="Calibri" w:hAnsi="Calibri"/>
          <w:b/>
          <w:color w:val="0F172A"/>
          <w:sz w:val="20"/>
        </w:rPr>
        <w:t xml:space="preserve">• 🔴 Basso Prendente: </w:t>
      </w:r>
      <w:r>
        <w:rPr>
          <w:rFonts w:ascii="Calibri" w:hAnsi="Calibri"/>
          <w:color w:val="0F172A"/>
          <w:sz w:val="20"/>
        </w:rPr>
        <w:t>&lt; 300 b/d (&lt; 9,000 b/mo). Tier 4 Constrained yield requiring compact machine (Daint A-bis) or co-financing review.</w:t>
      </w:r>
    </w:p>
    <w:p>
      <w:pPr>
        <w:pStyle w:val="Heading2"/>
        <w:keepNext/>
        <w:spacing w:before="280" w:after="80"/>
      </w:pPr>
      <w:r>
        <w:rPr>
          <w:rFonts w:ascii="Calibri" w:hAnsi="Calibri"/>
          <w:b/>
          <w:color w:val="198754"/>
          <w:sz w:val="26"/>
        </w:rPr>
        <w:t>7.4 Candidate Card Anatomy &amp; One-Click Handoff ('Results 📊' Action)</w:t>
      </w:r>
    </w:p>
    <w:p>
      <w:pPr>
        <w:spacing w:after="100" w:line="276" w:lineRule="auto"/>
      </w:pPr>
      <w:r>
        <w:rPr>
          <w:rFonts w:ascii="Calibri" w:hAnsi="Calibri"/>
          <w:color w:val="0F172A"/>
          <w:sz w:val="20"/>
        </w:rPr>
        <w:t>Each store is displayed as an interactive card containing: rank badge (#1 🏆, #2 🥈, #3 🥉), Store Name and PuntoFisico ID, Retail Filiera, color-coded inspection badge (Definitivo, In Corso, Riaperto), exact inspection date, complete address, auto-inferred Nielsen scale (m² and checkouts), predicted daily and monthly volume, volume tier badge, and voucher multiplier. Clicking the red 'Results 📊' button populates the store data into session state, automatically transitions the user to Tab 1, and renders the complete Step 4 Executive Dashboard without requiring manual re-entry.</w:t>
      </w:r>
    </w:p>
    <w:p>
      <w:pPr>
        <w:pStyle w:val="Heading1"/>
        <w:keepNext/>
        <w:spacing w:before="360" w:after="120"/>
      </w:pPr>
      <w:r>
        <w:rPr>
          <w:rFonts w:ascii="Calibri" w:hAnsi="Calibri"/>
          <w:b/>
          <w:color w:val="0F5132"/>
          <w:sz w:val="32"/>
        </w:rPr>
        <w:t>8. Tab 4: Fleet Outlier &amp; Hardware Defect Detection Simulator</w:t>
      </w:r>
    </w:p>
    <w:p>
      <w:pPr>
        <w:spacing w:after="100" w:line="276" w:lineRule="auto"/>
      </w:pPr>
      <w:r>
        <w:rPr>
          <w:rFonts w:ascii="Calibri" w:hAnsi="Calibri"/>
          <w:color w:val="0F172A"/>
          <w:sz w:val="20"/>
        </w:rPr>
        <w:t>Tab 4 (`🔍 Outlier &amp; Defect Simulator`) provides a complete fleet intelligence and predictive maintenance engine. It continuously audits all 1,849 active installed machines in the live census to identify hardware breakdowns, capacity jams, commercial spikes, and erratic operating regimes.</w:t>
      </w:r>
    </w:p>
    <w:p>
      <w:pPr>
        <w:pStyle w:val="Heading2"/>
        <w:keepNext/>
        <w:spacing w:before="280" w:after="80"/>
      </w:pPr>
      <w:r>
        <w:rPr>
          <w:rFonts w:ascii="Calibri" w:hAnsi="Calibri"/>
          <w:b/>
          <w:color w:val="198754"/>
          <w:sz w:val="26"/>
        </w:rPr>
        <w:t>8.1 Database Performance Architecture (3-Way Indexed UNION)</w:t>
      </w:r>
    </w:p>
    <w:p>
      <w:pPr>
        <w:spacing w:after="100" w:line="276" w:lineRule="auto"/>
      </w:pPr>
      <w:r>
        <w:rPr>
          <w:rFonts w:ascii="Calibri" w:hAnsi="Calibri"/>
          <w:color w:val="0F172A"/>
          <w:sz w:val="20"/>
        </w:rPr>
        <w:t>Historical collection telemetry is stored in the `master_daily_rvm` table. To ensure instant UI responsiveness and prevent database timeouts, the system utilizes three dedicated B-tree indexes: `idx_master_daily_rvm_pf` (on pf), `idx_master_daily_rvm_macchina` (on macchina), and `idx_master_daily_rvm_codprod` (on codicemacchinaprod). Queries execute via a 3-way indexed UNION structure that avoids multi-column OR sequential scans, reducing query execution time from 3,437 ms down to 7.9 ms.</w:t>
      </w:r>
    </w:p>
    <w:p>
      <w:pPr>
        <w:pStyle w:val="Heading2"/>
        <w:keepNext/>
        <w:spacing w:before="280" w:after="80"/>
      </w:pPr>
      <w:r>
        <w:rPr>
          <w:rFonts w:ascii="Calibri" w:hAnsi="Calibri"/>
          <w:b/>
          <w:color w:val="198754"/>
          <w:sz w:val="26"/>
        </w:rPr>
        <w:t>8.2 10-Option Outlier Rule Filtering Bar</w:t>
      </w:r>
    </w:p>
    <w:p>
      <w:pPr>
        <w:spacing w:after="100" w:line="276" w:lineRule="auto"/>
      </w:pPr>
      <w:r>
        <w:rPr>
          <w:rFonts w:ascii="Calibri" w:hAnsi="Calibri"/>
          <w:color w:val="0F172A"/>
          <w:sz w:val="20"/>
        </w:rPr>
        <w:t>The Outlier Dashboard features a prominent 10-option dropdown filter that allows maintenance teams to isolate stores by anomaly regime: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Filter Option</w:t>
            </w:r>
          </w:p>
        </w:tc>
        <w:tc>
          <w:tcPr>
            <w:tcW w:type="dxa" w:w="2016"/>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Regime Code</w:t>
            </w:r>
          </w:p>
        </w:tc>
        <w:tc>
          <w:tcPr>
            <w:tcW w:type="dxa" w:w="3312"/>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Mathematical Trigger Condition</w:t>
            </w:r>
          </w:p>
        </w:tc>
        <w:tc>
          <w:tcPr>
            <w:tcW w:type="dxa" w:w="2592"/>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Operational Field Protocol</w:t>
            </w:r>
          </w:p>
        </w:tc>
      </w:tr>
      <w:tr>
        <w:tc>
          <w:tcPr>
            <w:tcW w:type="dxa" w:w="216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1. All Outliers</w:t>
            </w:r>
          </w:p>
        </w:tc>
        <w:tc>
          <w:tcPr>
            <w:tcW w:type="dxa" w:w="201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ALL_ANOMALIES</w:t>
            </w:r>
          </w:p>
        </w:tc>
        <w:tc>
          <w:tcPr>
            <w:tcW w:type="dxa" w:w="331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Filters fleet strictly to machines triggering at least one anomaly rule (Rules 1 to 7).</w:t>
            </w:r>
          </w:p>
        </w:tc>
        <w:tc>
          <w:tcPr>
            <w:tcW w:type="dxa" w:w="259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Executive triage of entire abnormal fleet.</w:t>
            </w:r>
          </w:p>
        </w:tc>
      </w:tr>
      <w:tr>
        <w:tc>
          <w:tcPr>
            <w:tcW w:type="dxa" w:w="216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2. Rule 1: DEFECTIVE_OFFLINE</w:t>
            </w:r>
          </w:p>
        </w:tc>
        <w:tc>
          <w:tcPr>
            <w:tcW w:type="dxa" w:w="201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DEFECTIVE_OFFLINE</w:t>
            </w:r>
          </w:p>
        </w:tc>
        <w:tc>
          <w:tcPr>
            <w:tcW w:type="dxa" w:w="331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Consecutive Zeros &gt;= 7 days OR Recent 60-day Zero Rate &gt;= 20%.</w:t>
            </w:r>
          </w:p>
        </w:tc>
        <w:tc>
          <w:tcPr>
            <w:tcW w:type="dxa" w:w="259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P1 Field Dispatch: Inspect compactor motor, laser scanner, or verify power switch.</w:t>
            </w:r>
          </w:p>
        </w:tc>
      </w:tr>
      <w:tr>
        <w:tc>
          <w:tcPr>
            <w:tcW w:type="dxa" w:w="216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3. Rule 2: CAPACITY_BOTTLENECK</w:t>
            </w:r>
          </w:p>
        </w:tc>
        <w:tc>
          <w:tcPr>
            <w:tcW w:type="dxa" w:w="201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CAPACITY_BOTTLENECK</w:t>
            </w:r>
          </w:p>
        </w:tc>
        <w:tc>
          <w:tcPr>
            <w:tcW w:type="dxa" w:w="331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Footfall &gt;= 75% normal, but Bottles &lt; 60% baseline &amp; &lt; 15 b/visit.</w:t>
            </w:r>
          </w:p>
        </w:tc>
        <w:tc>
          <w:tcPr>
            <w:tcW w:type="dxa" w:w="259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Store Alert: Compactor full by midday. Mandate scheduled bag change twice daily.</w:t>
            </w:r>
          </w:p>
        </w:tc>
      </w:tr>
      <w:tr>
        <w:tc>
          <w:tcPr>
            <w:tcW w:type="dxa" w:w="216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4. Rule 3: VOLATILITY_SWING</w:t>
            </w:r>
          </w:p>
        </w:tc>
        <w:tc>
          <w:tcPr>
            <w:tcW w:type="dxa" w:w="201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VOLATILITY_SWING</w:t>
            </w:r>
          </w:p>
        </w:tc>
        <w:tc>
          <w:tcPr>
            <w:tcW w:type="dxa" w:w="331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Baseline surges to 1.5x (1,000+ b/d) then crashes to &lt;400 b/d with CV &gt; 0.85.</w:t>
            </w:r>
          </w:p>
        </w:tc>
        <w:tc>
          <w:tcPr>
            <w:tcW w:type="dxa" w:w="259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Campaign Audit: Supermarket reward campaign expired or staff clearing fatigue.</w:t>
            </w:r>
          </w:p>
        </w:tc>
      </w:tr>
      <w:tr>
        <w:tc>
          <w:tcPr>
            <w:tcW w:type="dxa" w:w="216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5. Rule 4: EXTREME_SPIKE_EVENT</w:t>
            </w:r>
          </w:p>
        </w:tc>
        <w:tc>
          <w:tcPr>
            <w:tcW w:type="dxa" w:w="201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EXTREME_SPIKE_EVENT</w:t>
            </w:r>
          </w:p>
        </w:tc>
        <w:tc>
          <w:tcPr>
            <w:tcW w:type="dxa" w:w="331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Single-day collection &gt; 7,500 bottles OR Z-Score &gt; 4.5 vs machine mean.</w:t>
            </w:r>
          </w:p>
        </w:tc>
        <w:tc>
          <w:tcPr>
            <w:tcW w:type="dxa" w:w="259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Commercial Review: Bulk commercial drop (bar/restaurant) or school contest.</w:t>
            </w:r>
          </w:p>
        </w:tc>
      </w:tr>
      <w:tr>
        <w:tc>
          <w:tcPr>
            <w:tcW w:type="dxa" w:w="216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6. Rule 5: CHRONIC_UNDERPERFORMER</w:t>
            </w:r>
          </w:p>
        </w:tc>
        <w:tc>
          <w:tcPr>
            <w:tcW w:type="dxa" w:w="201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CHRONIC_UNDERPERFORMER</w:t>
            </w:r>
          </w:p>
        </w:tc>
        <w:tc>
          <w:tcPr>
            <w:tcW w:type="dxa" w:w="331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Mature store volume &lt; 250 b/d despite high AI forecast (gap &gt;= 400 b/d).</w:t>
            </w:r>
          </w:p>
        </w:tc>
        <w:tc>
          <w:tcPr>
            <w:tcW w:type="dxa" w:w="259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Store Repositioning: Relocate RVM from hidden basement/parking to main store entrance.</w:t>
            </w:r>
          </w:p>
        </w:tc>
      </w:tr>
      <w:tr>
        <w:tc>
          <w:tcPr>
            <w:tcW w:type="dxa" w:w="216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7. Rule 6: SUPER_HUB_OUTLIER</w:t>
            </w:r>
          </w:p>
        </w:tc>
        <w:tc>
          <w:tcPr>
            <w:tcW w:type="dxa" w:w="201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SUPER_HUB_OUTLIER</w:t>
            </w:r>
          </w:p>
        </w:tc>
        <w:tc>
          <w:tcPr>
            <w:tcW w:type="dxa" w:w="331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Lifetime median collection &gt;= 3,000 bottles/day consistently.</w:t>
            </w:r>
          </w:p>
        </w:tc>
        <w:tc>
          <w:tcPr>
            <w:tcW w:type="dxa" w:w="259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Capital Expansion: High-priority strategic site to deploy a 2nd Coripet machine.</w:t>
            </w:r>
          </w:p>
        </w:tc>
      </w:tr>
      <w:tr>
        <w:tc>
          <w:tcPr>
            <w:tcW w:type="dxa" w:w="216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8. Rule 7: SENSOR_DRIFT_TRICKLE</w:t>
            </w:r>
          </w:p>
        </w:tc>
        <w:tc>
          <w:tcPr>
            <w:tcW w:type="dxa" w:w="201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SENSOR_DRIFT_TRICKLE</w:t>
            </w:r>
          </w:p>
        </w:tc>
        <w:tc>
          <w:tcPr>
            <w:tcW w:type="dxa" w:w="331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Daily volume 1 &lt;= B &lt;= 5 bottles with 0 users for &gt;= 14 days.</w:t>
            </w:r>
          </w:p>
        </w:tc>
        <w:tc>
          <w:tcPr>
            <w:tcW w:type="dxa" w:w="259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Optical Recalibration: Clean contaminated optical lenses and recalibrate sensor gate.</w:t>
            </w:r>
          </w:p>
        </w:tc>
      </w:tr>
      <w:tr>
        <w:tc>
          <w:tcPr>
            <w:tcW w:type="dxa" w:w="216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9. Rule 8: HEALTHY_NORMAL</w:t>
            </w:r>
          </w:p>
        </w:tc>
        <w:tc>
          <w:tcPr>
            <w:tcW w:type="dxa" w:w="201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HEALTHY_NORMAL</w:t>
            </w:r>
          </w:p>
        </w:tc>
        <w:tc>
          <w:tcPr>
            <w:tcW w:type="dxa" w:w="331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Machine operates within nominal parametric distribution (zero rule triggers).</w:t>
            </w:r>
          </w:p>
        </w:tc>
        <w:tc>
          <w:tcPr>
            <w:tcW w:type="dxa" w:w="259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Nominal Operation: Continue routine standard service schedule.</w:t>
            </w:r>
          </w:p>
        </w:tc>
      </w:tr>
      <w:tr>
        <w:tc>
          <w:tcPr>
            <w:tcW w:type="dxa" w:w="216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10. Full Fleet</w:t>
            </w:r>
          </w:p>
        </w:tc>
        <w:tc>
          <w:tcPr>
            <w:tcW w:type="dxa" w:w="201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FULL_FLEET</w:t>
            </w:r>
          </w:p>
        </w:tc>
        <w:tc>
          <w:tcPr>
            <w:tcW w:type="dxa" w:w="331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Displays all 1,849 machines in the audited diagnostic cohort including healthy units.</w:t>
            </w:r>
          </w:p>
        </w:tc>
        <w:tc>
          <w:tcPr>
            <w:tcW w:type="dxa" w:w="259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Comprehensive network overview and exploratory search.</w:t>
            </w:r>
          </w:p>
        </w:tc>
      </w:tr>
    </w:tbl>
    <w:p>
      <w:pPr>
        <w:spacing w:after="80"/>
      </w:pPr>
    </w:p>
    <w:p>
      <w:pPr>
        <w:pStyle w:val="Heading2"/>
        <w:keepNext/>
        <w:spacing w:before="280" w:after="80"/>
      </w:pPr>
      <w:r>
        <w:rPr>
          <w:rFonts w:ascii="Calibri" w:hAnsi="Calibri"/>
          <w:b/>
          <w:color w:val="198754"/>
          <w:sz w:val="26"/>
        </w:rPr>
        <w:t>8.3 2-Year Plotly Daily Trajectory &amp; Point-Outlier Markers</w:t>
      </w:r>
    </w:p>
    <w:p>
      <w:pPr>
        <w:spacing w:after="100" w:line="276" w:lineRule="auto"/>
      </w:pPr>
      <w:r>
        <w:rPr>
          <w:rFonts w:ascii="Calibri" w:hAnsi="Calibri"/>
          <w:color w:val="0F172A"/>
          <w:sz w:val="20"/>
        </w:rPr>
        <w:t>When selecting any machine from the fleet table, the dashboard renders an interactive 2-year daily bottles collection chart. To isolate specific operational incidents, daily collection points are tagged with three distinct point-outlier markers:</w:t>
      </w:r>
    </w:p>
    <w:p>
      <w:pPr>
        <w:pStyle w:val="ListBullet"/>
        <w:spacing w:after="60" w:line="276" w:lineRule="auto"/>
      </w:pPr>
      <w:r>
        <w:rPr>
          <w:rFonts w:ascii="Calibri" w:hAnsi="Calibri"/>
          <w:b/>
          <w:color w:val="0F172A"/>
          <w:sz w:val="20"/>
        </w:rPr>
        <w:t xml:space="preserve">🔴 Zero-Collection Downtime Outlier: </w:t>
      </w:r>
      <w:r>
        <w:rPr>
          <w:rFonts w:ascii="Calibri" w:hAnsi="Calibri"/>
          <w:color w:val="0F172A"/>
          <w:sz w:val="20"/>
        </w:rPr>
        <w:t>Collection = 0 bottles. Pinpoints hardware breakdown or store power cutoff.</w:t>
      </w:r>
    </w:p>
    <w:p>
      <w:pPr>
        <w:pStyle w:val="ListBullet"/>
        <w:spacing w:after="60" w:line="276" w:lineRule="auto"/>
      </w:pPr>
      <w:r>
        <w:rPr>
          <w:rFonts w:ascii="Calibri" w:hAnsi="Calibri"/>
          <w:b/>
          <w:color w:val="0F172A"/>
          <w:sz w:val="20"/>
        </w:rPr>
        <w:t xml:space="preserve">⚡ Volume Spike Outlier: </w:t>
      </w:r>
      <w:r>
        <w:rPr>
          <w:rFonts w:ascii="Calibri" w:hAnsi="Calibri"/>
          <w:color w:val="0F172A"/>
          <w:sz w:val="20"/>
        </w:rPr>
        <w:t>Bottles &gt;= 97th percentile, Bottles &gt; 1.4x 30d rolling baseline, and Bottles &gt; 500. Pinpoints commercial bulk dumps or school recycling contests.</w:t>
      </w:r>
    </w:p>
    <w:p>
      <w:pPr>
        <w:pStyle w:val="ListBullet"/>
        <w:spacing w:after="60" w:line="276" w:lineRule="auto"/>
      </w:pPr>
      <w:r>
        <w:rPr>
          <w:rFonts w:ascii="Calibri" w:hAnsi="Calibri"/>
          <w:b/>
          <w:color w:val="0F172A"/>
          <w:sz w:val="20"/>
        </w:rPr>
        <w:t xml:space="preserve">⚠️ Severe Drop Outlier: </w:t>
      </w:r>
      <w:r>
        <w:rPr>
          <w:rFonts w:ascii="Calibri" w:hAnsi="Calibri"/>
          <w:color w:val="0F172A"/>
          <w:sz w:val="20"/>
        </w:rPr>
        <w:t>0 &lt; Bottles &lt; 0.30x 30d baseline and 30d baseline &gt; 150 b/d. Pinpoints partial-day jams and midday full-bin lockouts.</w:t>
      </w:r>
    </w:p>
    <w:p>
      <w:pPr>
        <w:pStyle w:val="ListBullet"/>
        <w:spacing w:after="60" w:line="276" w:lineRule="auto"/>
      </w:pPr>
      <w:r>
        <w:rPr>
          <w:rFonts w:ascii="Calibri" w:hAnsi="Calibri"/>
          <w:b/>
          <w:color w:val="0F172A"/>
          <w:sz w:val="20"/>
        </w:rPr>
        <w:t xml:space="preserve">📈 Rolling 30-Day Baseline: </w:t>
      </w:r>
      <w:r>
        <w:rPr>
          <w:rFonts w:ascii="Calibri" w:hAnsi="Calibri"/>
          <w:color w:val="0F172A"/>
          <w:sz w:val="20"/>
        </w:rPr>
        <w:t>30-day moving average curve depicting true baseline momentum, smoothed against weekend fluctuations.</w:t>
      </w:r>
    </w:p>
    <w:p>
      <w:pPr>
        <w:spacing w:after="100" w:line="276" w:lineRule="auto"/>
      </w:pPr>
      <w:r>
        <w:rPr>
          <w:rFonts w:ascii="Calibri" w:hAnsi="Calibri"/>
          <w:color w:val="0F172A"/>
          <w:sz w:val="20"/>
        </w:rPr>
        <w:t>The dashboard includes a Root-Cause Diagnostic narrative card outlining operational findings, maintenance history, and a '📥 Download Filtered Fleet Report (CSV)' button allowing immediate export of the filtered machine registry.</w:t>
      </w:r>
    </w:p>
    <w:p>
      <w:pPr>
        <w:pStyle w:val="Heading1"/>
        <w:keepNext/>
        <w:spacing w:before="360" w:after="120"/>
      </w:pPr>
      <w:r>
        <w:rPr>
          <w:rFonts w:ascii="Calibri" w:hAnsi="Calibri"/>
          <w:b/>
          <w:color w:val="0F5132"/>
          <w:sz w:val="32"/>
        </w:rPr>
        <w:t>9. Technical Architecture, Database &amp; Deployment Infrastructure</w:t>
      </w:r>
    </w:p>
    <w:p>
      <w:pPr>
        <w:spacing w:after="100" w:line="276" w:lineRule="auto"/>
      </w:pPr>
      <w:r>
        <w:rPr>
          <w:rFonts w:ascii="Calibri" w:hAnsi="Calibri"/>
          <w:color w:val="0F172A"/>
          <w:sz w:val="20"/>
        </w:rPr>
        <w:t>The underlying technical stack is engineered for production stability, low latency, and high mathematical precision:</w:t>
      </w:r>
    </w:p>
    <w:p>
      <w:pPr>
        <w:pStyle w:val="ListBullet"/>
        <w:spacing w:after="60" w:line="276" w:lineRule="auto"/>
      </w:pPr>
      <w:r>
        <w:rPr>
          <w:rFonts w:ascii="Calibri" w:hAnsi="Calibri"/>
          <w:b/>
          <w:color w:val="0F172A"/>
          <w:sz w:val="20"/>
        </w:rPr>
        <w:t xml:space="preserve">• Database Layer: </w:t>
      </w:r>
      <w:r>
        <w:rPr>
          <w:rFonts w:ascii="Calibri" w:hAnsi="Calibri"/>
          <w:color w:val="0F172A"/>
          <w:sz w:val="20"/>
        </w:rPr>
        <w:t>Universal MariaDB 10.6+ and PostgreSQL 16 relational database with master table `master_daily_rvm` containing 1.77M+ (1,770,755) certified collection records across the 1,849 active installed machines. Optimized with sub-10ms indexed UNION queries and connection pooling.</w:t>
      </w:r>
    </w:p>
    <w:p>
      <w:pPr>
        <w:pStyle w:val="ListBullet"/>
        <w:spacing w:after="60" w:line="276" w:lineRule="auto"/>
      </w:pPr>
      <w:r>
        <w:rPr>
          <w:rFonts w:ascii="Calibri" w:hAnsi="Calibri"/>
          <w:b/>
          <w:color w:val="0F172A"/>
          <w:sz w:val="20"/>
        </w:rPr>
        <w:t xml:space="preserve">• Neural Network Core: </w:t>
      </w:r>
      <w:r>
        <w:rPr>
          <w:rFonts w:ascii="Calibri" w:hAnsi="Calibri"/>
          <w:color w:val="0F172A"/>
          <w:sz w:val="20"/>
        </w:rPr>
        <w:t>Multi-task tabular neural network built in PyTorch (MultiTaskRVMNet) with entity embeddings for categorical features, GELU activations, and LayerNorm. Simulates an 84-day seasonal calendar grid.</w:t>
      </w:r>
    </w:p>
    <w:p>
      <w:pPr>
        <w:pStyle w:val="ListBullet"/>
        <w:spacing w:after="60" w:line="276" w:lineRule="auto"/>
      </w:pPr>
      <w:r>
        <w:rPr>
          <w:rFonts w:ascii="Calibri" w:hAnsi="Calibri"/>
          <w:b/>
          <w:color w:val="0F172A"/>
          <w:sz w:val="20"/>
        </w:rPr>
        <w:t xml:space="preserve">• Stacking Ensemble: </w:t>
      </w:r>
      <w:r>
        <w:rPr>
          <w:rFonts w:ascii="Calibri" w:hAnsi="Calibri"/>
          <w:color w:val="0F172A"/>
          <w:sz w:val="20"/>
        </w:rPr>
        <w:t>Calibrated gradient-boosted decision trees (LightGBM) blended with neural network predictions using optimal cross-validated ensemble weights.</w:t>
      </w:r>
    </w:p>
    <w:p>
      <w:pPr>
        <w:pStyle w:val="ListBullet"/>
        <w:spacing w:after="60" w:line="276" w:lineRule="auto"/>
      </w:pPr>
      <w:r>
        <w:rPr>
          <w:rFonts w:ascii="Calibri" w:hAnsi="Calibri"/>
          <w:b/>
          <w:color w:val="0F172A"/>
          <w:sz w:val="20"/>
        </w:rPr>
        <w:t xml:space="preserve">• Spatial Intelligence: </w:t>
      </w:r>
      <w:r>
        <w:rPr>
          <w:rFonts w:ascii="Calibri" w:hAnsi="Calibri"/>
          <w:color w:val="0F172A"/>
          <w:sz w:val="20"/>
        </w:rPr>
        <w:t>Haversine spatial calculations, concentric buffer rings (1km, 3km, 5km), and demographic census integration from ISTAT municipal records.</w:t>
      </w:r>
    </w:p>
    <w:p>
      <w:pPr>
        <w:pStyle w:val="ListBullet"/>
        <w:spacing w:after="60" w:line="276" w:lineRule="auto"/>
      </w:pPr>
      <w:r>
        <w:rPr>
          <w:rFonts w:ascii="Calibri" w:hAnsi="Calibri"/>
          <w:b/>
          <w:color w:val="0F172A"/>
          <w:sz w:val="20"/>
        </w:rPr>
        <w:t xml:space="preserve">• User Interface: </w:t>
      </w:r>
      <w:r>
        <w:rPr>
          <w:rFonts w:ascii="Calibri" w:hAnsi="Calibri"/>
          <w:color w:val="0F172A"/>
          <w:sz w:val="20"/>
        </w:rPr>
        <w:t>Streamlit web application running on port 8501 with custom CSS glassmorphism, responsive column flexboxes, and interactive Plotly visualization components.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6"/>
      </w:rPr>
      <w:t>CONFIDENTIAL • CORIPET REVERSE VENDING MACHINE INTELLIGENCE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6"/>
      </w:rPr>
      <w:t>Coripet RVM Prospective Predictor &amp; Fleet Intelligence • Production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