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80"/>
      </w:pPr>
      <w:r>
        <w:rPr>
          <w:rFonts w:ascii="Calibri" w:hAnsi="Calibri"/>
          <w:b/>
          <w:color w:val="104B35"/>
          <w:sz w:val="48"/>
        </w:rPr>
        <w:t>Coripet RVM Prospective Location Predictor</w:t>
      </w:r>
    </w:p>
    <w:p>
      <w:pPr>
        <w:spacing w:after="320"/>
      </w:pPr>
      <w:r>
        <w:rPr>
          <w:rFonts w:ascii="Calibri" w:hAnsi="Calibri"/>
          <w:b/>
          <w:color w:val="1E824C"/>
          <w:sz w:val="26"/>
        </w:rPr>
        <w:t>Complete System Architecture, Predictive Modeling &amp; Business Rules Specification</w:t>
      </w:r>
    </w:p>
    <w:p>
      <w:pPr>
        <w:spacing w:after="400"/>
      </w:pPr>
      <w:r>
        <w:rPr>
          <w:rFonts w:ascii="Calibri" w:hAnsi="Calibri"/>
          <w:i/>
          <w:color w:val="6C757D"/>
          <w:sz w:val="19"/>
        </w:rPr>
        <w:t>Author: Antigravity AI Engine | Version: Production 2.4 | Scope: National Italy Network</w:t>
      </w:r>
    </w:p>
    <w:p>
      <w:pPr>
        <w:keepNext/>
        <w:spacing w:before="360" w:after="120"/>
      </w:pPr>
      <w:r>
        <w:rPr>
          <w:rFonts w:ascii="Calibri" w:hAnsi="Calibri"/>
          <w:b/>
          <w:color w:val="104B35"/>
          <w:sz w:val="32"/>
        </w:rPr>
        <w:t>1. Executive Summary &amp; System Objectives</w:t>
      </w:r>
    </w:p>
    <w:p>
      <w:r>
        <w:t>The Coripet RVM Prospective Location Predictor is an enterprise-grade predictive modeling and spatial intelligence decision-support system. It evaluates prospective supermarket, hypermarket, discount store, and shopping center locations across Italy for the deployment of automated Reverse Vending Machines (RVMs) for PET bottle collection.</w:t>
      </w:r>
    </w:p>
    <w:p>
      <w:pPr>
        <w:keepNext/>
        <w:spacing w:before="280" w:after="80"/>
      </w:pPr>
      <w:r>
        <w:rPr>
          <w:rFonts w:ascii="Calibri" w:hAnsi="Calibri"/>
          <w:b/>
          <w:color w:val="1E824C"/>
          <w:sz w:val="26"/>
        </w:rPr>
        <w:t>Core Business Purpose</w:t>
      </w:r>
    </w:p>
    <w:p>
      <w:pPr>
        <w:pStyle w:val="ListBullet"/>
        <w:spacing w:after="60" w:line="276" w:lineRule="auto"/>
      </w:pPr>
      <w:r>
        <w:rPr>
          <w:b/>
          <w:color w:val="212529"/>
        </w:rPr>
        <w:t xml:space="preserve">1. Expected Collection Volumes: </w:t>
      </w:r>
      <w:r>
        <w:rPr>
          <w:color w:val="212529"/>
        </w:rPr>
        <w:t>Projected PET bottles collected per day, month (30.4 days), and cumulative annual volume (365 days).</w:t>
      </w:r>
    </w:p>
    <w:p>
      <w:pPr>
        <w:pStyle w:val="ListBullet"/>
        <w:spacing w:after="60" w:line="276" w:lineRule="auto"/>
      </w:pPr>
      <w:r>
        <w:rPr>
          <w:b/>
          <w:color w:val="212529"/>
        </w:rPr>
        <w:t xml:space="preserve">2. User Footfall &amp; Habit: </w:t>
      </w:r>
      <w:r>
        <w:rPr>
          <w:color w:val="212529"/>
        </w:rPr>
        <w:t>Unique individuals recycling per day (PRESENZE) and interaction batch size (bottles/person).</w:t>
      </w:r>
    </w:p>
    <w:p>
      <w:pPr>
        <w:pStyle w:val="ListBullet"/>
        <w:spacing w:after="60" w:line="276" w:lineRule="auto"/>
      </w:pPr>
      <w:r>
        <w:rPr>
          <w:b/>
          <w:color w:val="212529"/>
        </w:rPr>
        <w:t xml:space="preserve">3. Catchment Friction &amp; Cannibalization: </w:t>
      </w:r>
      <w:r>
        <w:rPr>
          <w:color w:val="212529"/>
        </w:rPr>
        <w:t>Net volume dilution from nearby active RVMs and local grocery competition.</w:t>
      </w:r>
    </w:p>
    <w:p>
      <w:pPr>
        <w:pStyle w:val="ListBullet"/>
        <w:spacing w:after="60" w:line="276" w:lineRule="auto"/>
      </w:pPr>
      <w:r>
        <w:rPr>
          <w:b/>
          <w:color w:val="212529"/>
        </w:rPr>
        <w:t xml:space="preserve">4. Site Clearance &amp; Suitability: </w:t>
      </w:r>
      <w:r>
        <w:rPr>
          <w:color w:val="212529"/>
        </w:rPr>
        <w:t>Rigorous 7-gate screening evaluating physical space, economic breakeven, demographics, and routing.</w:t>
      </w:r>
    </w:p>
    <w:p>
      <w:pPr>
        <w:pStyle w:val="ListBullet"/>
        <w:spacing w:after="60" w:line="276" w:lineRule="auto"/>
      </w:pPr>
      <w:r>
        <w:rPr>
          <w:b/>
          <w:color w:val="212529"/>
        </w:rPr>
        <w:t xml:space="preserve">5. Strategic Deployment Guidance: </w:t>
      </w:r>
      <w:r>
        <w:rPr>
          <w:color w:val="212529"/>
        </w:rPr>
        <w:t>Right-sized machine assignment (compact vs. heavy-duty), servicing rhythm, and co-financing terms.</w:t>
      </w:r>
    </w:p>
    <w:p>
      <w:pPr>
        <w:keepNext/>
        <w:spacing w:before="280" w:after="80"/>
      </w:pPr>
      <w:r>
        <w:rPr>
          <w:rFonts w:ascii="Calibri" w:hAnsi="Calibri"/>
          <w:b/>
          <w:color w:val="1E824C"/>
          <w:sz w:val="26"/>
        </w:rPr>
        <w:t>Minimal Prospective Input Specification</w:t>
      </w:r>
    </w:p>
    <w:p>
      <w:r>
        <w:t>To evaluate any candidate store in Italy, only four realistic variables are required:</w:t>
      </w:r>
    </w:p>
    <w:p>
      <w:pPr>
        <w:pStyle w:val="ListBullet"/>
        <w:spacing w:after="60" w:line="276" w:lineRule="auto"/>
      </w:pPr>
      <w:r>
        <w:rPr>
          <w:b/>
          <w:color w:val="212529"/>
        </w:rPr>
        <w:t xml:space="preserve">Store Name / Insegna: </w:t>
      </w:r>
      <w:r>
        <w:rPr>
          <w:color w:val="212529"/>
        </w:rPr>
        <w:t>e.g. 'Esselunga Milano Certosa', 'Decò', 'Conad Superstore', 'Famila'.</w:t>
      </w:r>
    </w:p>
    <w:p>
      <w:pPr>
        <w:pStyle w:val="ListBullet"/>
        <w:spacing w:after="60" w:line="276" w:lineRule="auto"/>
      </w:pPr>
      <w:r>
        <w:rPr>
          <w:b/>
          <w:color w:val="212529"/>
        </w:rPr>
        <w:t xml:space="preserve">Street Address: </w:t>
      </w:r>
      <w:r>
        <w:rPr>
          <w:color w:val="212529"/>
        </w:rPr>
        <w:t>e.g. 'Via delle Forze Armate 12', 'Via Circonvallazione 126'.</w:t>
      </w:r>
    </w:p>
    <w:p>
      <w:pPr>
        <w:pStyle w:val="ListBullet"/>
        <w:spacing w:after="60" w:line="276" w:lineRule="auto"/>
      </w:pPr>
      <w:r>
        <w:rPr>
          <w:b/>
          <w:color w:val="212529"/>
        </w:rPr>
        <w:t xml:space="preserve">Postal Code (CAP): </w:t>
      </w:r>
      <w:r>
        <w:rPr>
          <w:color w:val="212529"/>
        </w:rPr>
        <w:t>5-digit Italian Postal Code, e.g. '20147', '11029', '90121'.</w:t>
      </w:r>
    </w:p>
    <w:p>
      <w:pPr>
        <w:pStyle w:val="ListBullet"/>
        <w:spacing w:after="60" w:line="276" w:lineRule="auto"/>
      </w:pPr>
      <w:r>
        <w:rPr>
          <w:b/>
          <w:color w:val="212529"/>
        </w:rPr>
        <w:t xml:space="preserve">Machine Model: </w:t>
      </w:r>
      <w:r>
        <w:rPr>
          <w:color w:val="212529"/>
        </w:rPr>
        <w:t>e.g. 'DAINT_A-bis', 'DAINT_G', 'Ripet_C-front', 'Ripet_V2'.</w:t>
      </w:r>
    </w:p>
    <w:p>
      <w:r>
        <w:t>(Optional user overrides: Store format preset 1–5, exact sales area in m², or checkout register count).</w:t>
      </w:r>
    </w:p>
    <w:p>
      <w:pPr>
        <w:keepNext/>
        <w:spacing w:before="360" w:after="120"/>
      </w:pPr>
      <w:r>
        <w:rPr>
          <w:rFonts w:ascii="Calibri" w:hAnsi="Calibri"/>
          <w:b/>
          <w:color w:val="104B35"/>
          <w:sz w:val="32"/>
        </w:rPr>
        <w:t>2. Multi-Level Intelligence &amp; Feature Architecture</w:t>
      </w:r>
    </w:p>
    <w:p>
      <w:r>
        <w:t>Candidate locations are processed through a four-level hierarchical spatial and commercial intelligence pipeline prior to neural network inference:</w:t>
      </w:r>
    </w:p>
    <w:p>
      <w:pPr>
        <w:keepNext/>
        <w:spacing w:before="280" w:after="80"/>
      </w:pPr>
      <w:r>
        <w:rPr>
          <w:rFonts w:ascii="Calibri" w:hAnsi="Calibri"/>
          <w:b/>
          <w:color w:val="1E824C"/>
          <w:sz w:val="26"/>
        </w:rPr>
        <w:t>Level 1: Geographic &amp; Spatial Disambiguation</w:t>
      </w:r>
    </w:p>
    <w:p>
      <w:pPr>
        <w:pStyle w:val="ListBullet"/>
        <w:spacing w:after="60" w:line="276" w:lineRule="auto"/>
      </w:pPr>
      <w:r>
        <w:rPr>
          <w:b/>
          <w:color w:val="212529"/>
        </w:rPr>
        <w:t xml:space="preserve">CAP Normalization: </w:t>
      </w:r>
      <w:r>
        <w:rPr>
          <w:color w:val="212529"/>
        </w:rPr>
        <w:t>All postal inputs are validated and padded to 5 digits (e.g. '11029', '00185').</w:t>
      </w:r>
    </w:p>
    <w:p>
      <w:pPr>
        <w:pStyle w:val="ListBullet"/>
        <w:spacing w:after="60" w:line="276" w:lineRule="auto"/>
      </w:pPr>
      <w:r>
        <w:rPr>
          <w:b/>
          <w:color w:val="212529"/>
        </w:rPr>
        <w:t xml:space="preserve">Multi-Tier Resolution: </w:t>
      </w:r>
      <w:r>
        <w:rPr>
          <w:color w:val="212529"/>
        </w:rPr>
        <w:t>Tier 1: Exact (CAP, Comune) match in official Italian municipal census; Tier 2: Municipal centroid geocoding; Tier 3: Comune registry lookup; Tier 4: National median fallback.</w:t>
      </w:r>
    </w:p>
    <w:p>
      <w:pPr>
        <w:pStyle w:val="ListBullet"/>
        <w:spacing w:after="60" w:line="276" w:lineRule="auto"/>
      </w:pPr>
      <w:r>
        <w:rPr>
          <w:b/>
          <w:color w:val="212529"/>
        </w:rPr>
        <w:t xml:space="preserve">Census &amp; Economic Attributes: </w:t>
      </w:r>
      <w:r>
        <w:rPr>
          <w:color w:val="212529"/>
        </w:rPr>
        <w:t>Total population, municipal surface area (km²), population density (inhabitants/km²), municipal GDP (PIL), and per-capita GDP.</w:t>
      </w:r>
    </w:p>
    <w:p>
      <w:pPr>
        <w:keepNext/>
        <w:spacing w:before="280" w:after="80"/>
      </w:pPr>
      <w:r>
        <w:rPr>
          <w:rFonts w:ascii="Calibri" w:hAnsi="Calibri"/>
          <w:b/>
          <w:color w:val="1E824C"/>
          <w:sz w:val="26"/>
        </w:rPr>
        <w:t>Level 2: Store Format &amp; Scale Auto-Estimation</w:t>
      </w:r>
    </w:p>
    <w:p>
      <w:r>
        <w:t>Reverse vending machine throughput is strongly conditioned by store physical footprint and checkout capacity. When the user does not specify square meters or checkout counts, the system automatically infers them from the 25,104 Nielsen Italian Store Universe: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04B35"/>
            <w:tcMar>
              <w:top w:w="100" w:type="dxa"/>
              <w:bottom w:w="100" w:type="dxa"/>
              <w:left w:w="120" w:type="dxa"/>
              <w:right w:w="120" w:type="dxa"/>
            </w:tcMar>
            <w:shd w:fill="104B35"/>
          </w:tcPr>
          <w:p>
            <w:r>
              <w:rPr>
                <w:b/>
                <w:color w:val="FFFFFF"/>
                <w:sz w:val="19"/>
              </w:rPr>
              <w:t>Store Format</w:t>
            </w:r>
          </w:p>
        </w:tc>
        <w:tc>
          <w:tcPr>
            <w:tcW w:type="dxa" w:w="1872"/>
            <w:shd w:fill="104B35"/>
            <w:tcMar>
              <w:top w:w="100" w:type="dxa"/>
              <w:bottom w:w="100" w:type="dxa"/>
              <w:left w:w="120" w:type="dxa"/>
              <w:right w:w="120" w:type="dxa"/>
            </w:tcMar>
          </w:tcPr>
          <w:p>
            <w:r>
              <w:rPr>
                <w:b/>
                <w:color w:val="FFFFFF"/>
                <w:sz w:val="19"/>
              </w:rPr>
              <w:t>Code</w:t>
            </w:r>
          </w:p>
        </w:tc>
        <w:tc>
          <w:tcPr>
            <w:tcW w:type="dxa" w:w="1872"/>
            <w:shd w:fill="104B35"/>
            <w:tcMar>
              <w:top w:w="100" w:type="dxa"/>
              <w:bottom w:w="100" w:type="dxa"/>
              <w:left w:w="120" w:type="dxa"/>
              <w:right w:w="120" w:type="dxa"/>
            </w:tcMar>
          </w:tcPr>
          <w:p>
            <w:r>
              <w:rPr>
                <w:b/>
                <w:color w:val="FFFFFF"/>
                <w:sz w:val="19"/>
              </w:rPr>
              <w:t>Typical Sales Area (m²)</w:t>
            </w:r>
          </w:p>
        </w:tc>
        <w:tc>
          <w:tcPr>
            <w:tcW w:type="dxa" w:w="1872"/>
            <w:shd w:fill="104B35"/>
            <w:tcMar>
              <w:top w:w="100" w:type="dxa"/>
              <w:bottom w:w="100" w:type="dxa"/>
              <w:left w:w="120" w:type="dxa"/>
              <w:right w:w="120" w:type="dxa"/>
            </w:tcMar>
          </w:tcPr>
          <w:p>
            <w:r>
              <w:rPr>
                <w:b/>
                <w:color w:val="FFFFFF"/>
                <w:sz w:val="19"/>
              </w:rPr>
              <w:t>Typical Checkouts</w:t>
            </w:r>
          </w:p>
        </w:tc>
        <w:tc>
          <w:tcPr>
            <w:tcW w:type="dxa" w:w="1872"/>
            <w:shd w:fill="104B35"/>
            <w:tcMar>
              <w:top w:w="100" w:type="dxa"/>
              <w:bottom w:w="100" w:type="dxa"/>
              <w:left w:w="120" w:type="dxa"/>
              <w:right w:w="120" w:type="dxa"/>
            </w:tcMar>
          </w:tcPr>
          <w:p>
            <w:r>
              <w:rPr>
                <w:b/>
                <w:color w:val="FFFFFF"/>
                <w:sz w:val="19"/>
              </w:rPr>
              <w:t>Example Banners</w:t>
            </w:r>
          </w:p>
        </w:tc>
      </w:tr>
      <w:tr>
        <w:tc>
          <w:tcPr>
            <w:tcW w:type="dxa" w:w="1872"/>
            <w:shd w:fill="F7FBF9"/>
            <w:tcMar>
              <w:top w:w="80" w:type="dxa"/>
              <w:bottom w:w="80" w:type="dxa"/>
              <w:left w:w="100" w:type="dxa"/>
              <w:right w:w="100" w:type="dxa"/>
            </w:tcMar>
          </w:tcPr>
          <w:p>
            <w:r>
              <w:rPr>
                <w:sz w:val="18"/>
              </w:rPr>
              <w:t>Hypermarket</w:t>
            </w:r>
          </w:p>
        </w:tc>
        <w:tc>
          <w:tcPr>
            <w:tcW w:type="dxa" w:w="1872"/>
            <w:shd w:fill="F7FBF9"/>
            <w:tcMar>
              <w:top w:w="80" w:type="dxa"/>
              <w:bottom w:w="80" w:type="dxa"/>
              <w:left w:w="100" w:type="dxa"/>
              <w:right w:w="100" w:type="dxa"/>
            </w:tcMar>
          </w:tcPr>
          <w:p>
            <w:r>
              <w:rPr>
                <w:sz w:val="18"/>
              </w:rPr>
              <w:t>IPER</w:t>
            </w:r>
          </w:p>
        </w:tc>
        <w:tc>
          <w:tcPr>
            <w:tcW w:type="dxa" w:w="1872"/>
            <w:shd w:fill="F7FBF9"/>
            <w:tcMar>
              <w:top w:w="80" w:type="dxa"/>
              <w:bottom w:w="80" w:type="dxa"/>
              <w:left w:w="100" w:type="dxa"/>
              <w:right w:w="100" w:type="dxa"/>
            </w:tcMar>
          </w:tcPr>
          <w:p>
            <w:r>
              <w:rPr>
                <w:sz w:val="18"/>
              </w:rPr>
              <w:t>2,500 – 10,000 m²</w:t>
            </w:r>
          </w:p>
        </w:tc>
        <w:tc>
          <w:tcPr>
            <w:tcW w:type="dxa" w:w="1872"/>
            <w:shd w:fill="F7FBF9"/>
            <w:tcMar>
              <w:top w:w="80" w:type="dxa"/>
              <w:bottom w:w="80" w:type="dxa"/>
              <w:left w:w="100" w:type="dxa"/>
              <w:right w:w="100" w:type="dxa"/>
            </w:tcMar>
          </w:tcPr>
          <w:p>
            <w:r>
              <w:rPr>
                <w:sz w:val="18"/>
              </w:rPr>
              <w:t>12 – 40 checkouts</w:t>
            </w:r>
          </w:p>
        </w:tc>
        <w:tc>
          <w:tcPr>
            <w:tcW w:type="dxa" w:w="1872"/>
            <w:shd w:fill="F7FBF9"/>
            <w:tcMar>
              <w:top w:w="80" w:type="dxa"/>
              <w:bottom w:w="80" w:type="dxa"/>
              <w:left w:w="100" w:type="dxa"/>
              <w:right w:w="100" w:type="dxa"/>
            </w:tcMar>
          </w:tcPr>
          <w:p>
            <w:r>
              <w:rPr>
                <w:sz w:val="18"/>
              </w:rPr>
              <w:t>Ipercoop, Spazio Conad, Carrefour Iper</w:t>
            </w:r>
          </w:p>
        </w:tc>
      </w:tr>
      <w:tr>
        <w:tc>
          <w:tcPr>
            <w:tcW w:type="dxa" w:w="1872"/>
            <w:shd w:fill="FFFFFF"/>
            <w:tcMar>
              <w:top w:w="80" w:type="dxa"/>
              <w:bottom w:w="80" w:type="dxa"/>
              <w:left w:w="100" w:type="dxa"/>
              <w:right w:w="100" w:type="dxa"/>
            </w:tcMar>
          </w:tcPr>
          <w:p>
            <w:r>
              <w:rPr>
                <w:sz w:val="18"/>
              </w:rPr>
              <w:t>Superstore / Large Super</w:t>
            </w:r>
          </w:p>
        </w:tc>
        <w:tc>
          <w:tcPr>
            <w:tcW w:type="dxa" w:w="1872"/>
            <w:shd w:fill="FFFFFF"/>
            <w:tcMar>
              <w:top w:w="80" w:type="dxa"/>
              <w:bottom w:w="80" w:type="dxa"/>
              <w:left w:w="100" w:type="dxa"/>
              <w:right w:w="100" w:type="dxa"/>
            </w:tcMar>
          </w:tcPr>
          <w:p>
            <w:r>
              <w:rPr>
                <w:sz w:val="18"/>
              </w:rPr>
              <w:t>SUP</w:t>
            </w:r>
          </w:p>
        </w:tc>
        <w:tc>
          <w:tcPr>
            <w:tcW w:type="dxa" w:w="1872"/>
            <w:shd w:fill="FFFFFF"/>
            <w:tcMar>
              <w:top w:w="80" w:type="dxa"/>
              <w:bottom w:w="80" w:type="dxa"/>
              <w:left w:w="100" w:type="dxa"/>
              <w:right w:w="100" w:type="dxa"/>
            </w:tcMar>
          </w:tcPr>
          <w:p>
            <w:r>
              <w:rPr>
                <w:sz w:val="18"/>
              </w:rPr>
              <w:t>1,200 – 2,500 m²</w:t>
            </w:r>
          </w:p>
        </w:tc>
        <w:tc>
          <w:tcPr>
            <w:tcW w:type="dxa" w:w="1872"/>
            <w:shd w:fill="FFFFFF"/>
            <w:tcMar>
              <w:top w:w="80" w:type="dxa"/>
              <w:bottom w:w="80" w:type="dxa"/>
              <w:left w:w="100" w:type="dxa"/>
              <w:right w:w="100" w:type="dxa"/>
            </w:tcMar>
          </w:tcPr>
          <w:p>
            <w:r>
              <w:rPr>
                <w:sz w:val="18"/>
              </w:rPr>
              <w:t>6 – 15 checkouts</w:t>
            </w:r>
          </w:p>
        </w:tc>
        <w:tc>
          <w:tcPr>
            <w:tcW w:type="dxa" w:w="1872"/>
            <w:shd w:fill="FFFFFF"/>
            <w:tcMar>
              <w:top w:w="80" w:type="dxa"/>
              <w:bottom w:w="80" w:type="dxa"/>
              <w:left w:w="100" w:type="dxa"/>
              <w:right w:w="100" w:type="dxa"/>
            </w:tcMar>
          </w:tcPr>
          <w:p>
            <w:r>
              <w:rPr>
                <w:sz w:val="18"/>
              </w:rPr>
              <w:t>Esselunga, Conad Superstore, Famila</w:t>
            </w:r>
          </w:p>
        </w:tc>
      </w:tr>
      <w:tr>
        <w:tc>
          <w:tcPr>
            <w:tcW w:type="dxa" w:w="1872"/>
            <w:shd w:fill="F7FBF9"/>
            <w:tcMar>
              <w:top w:w="80" w:type="dxa"/>
              <w:bottom w:w="80" w:type="dxa"/>
              <w:left w:w="100" w:type="dxa"/>
              <w:right w:w="100" w:type="dxa"/>
            </w:tcMar>
          </w:tcPr>
          <w:p>
            <w:r>
              <w:rPr>
                <w:sz w:val="18"/>
              </w:rPr>
              <w:t>Standard Supermarket</w:t>
            </w:r>
          </w:p>
        </w:tc>
        <w:tc>
          <w:tcPr>
            <w:tcW w:type="dxa" w:w="1872"/>
            <w:shd w:fill="F7FBF9"/>
            <w:tcMar>
              <w:top w:w="80" w:type="dxa"/>
              <w:bottom w:w="80" w:type="dxa"/>
              <w:left w:w="100" w:type="dxa"/>
              <w:right w:w="100" w:type="dxa"/>
            </w:tcMar>
          </w:tcPr>
          <w:p>
            <w:r>
              <w:rPr>
                <w:sz w:val="18"/>
              </w:rPr>
              <w:t>SUP</w:t>
            </w:r>
          </w:p>
        </w:tc>
        <w:tc>
          <w:tcPr>
            <w:tcW w:type="dxa" w:w="1872"/>
            <w:shd w:fill="F7FBF9"/>
            <w:tcMar>
              <w:top w:w="80" w:type="dxa"/>
              <w:bottom w:w="80" w:type="dxa"/>
              <w:left w:w="100" w:type="dxa"/>
              <w:right w:w="100" w:type="dxa"/>
            </w:tcMar>
          </w:tcPr>
          <w:p>
            <w:r>
              <w:rPr>
                <w:sz w:val="18"/>
              </w:rPr>
              <w:t>600 – 1,200 m²</w:t>
            </w:r>
          </w:p>
        </w:tc>
        <w:tc>
          <w:tcPr>
            <w:tcW w:type="dxa" w:w="1872"/>
            <w:shd w:fill="F7FBF9"/>
            <w:tcMar>
              <w:top w:w="80" w:type="dxa"/>
              <w:bottom w:w="80" w:type="dxa"/>
              <w:left w:w="100" w:type="dxa"/>
              <w:right w:w="100" w:type="dxa"/>
            </w:tcMar>
          </w:tcPr>
          <w:p>
            <w:r>
              <w:rPr>
                <w:sz w:val="18"/>
              </w:rPr>
              <w:t>3 – 6 checkouts</w:t>
            </w:r>
          </w:p>
        </w:tc>
        <w:tc>
          <w:tcPr>
            <w:tcW w:type="dxa" w:w="1872"/>
            <w:shd w:fill="F7FBF9"/>
            <w:tcMar>
              <w:top w:w="80" w:type="dxa"/>
              <w:bottom w:w="80" w:type="dxa"/>
              <w:left w:w="100" w:type="dxa"/>
              <w:right w:w="100" w:type="dxa"/>
            </w:tcMar>
          </w:tcPr>
          <w:p>
            <w:r>
              <w:rPr>
                <w:sz w:val="18"/>
              </w:rPr>
              <w:t>Conad, Coop, Despar, Tigros</w:t>
            </w:r>
          </w:p>
        </w:tc>
      </w:tr>
      <w:tr>
        <w:tc>
          <w:tcPr>
            <w:tcW w:type="dxa" w:w="1872"/>
            <w:shd w:fill="FFFFFF"/>
            <w:tcMar>
              <w:top w:w="80" w:type="dxa"/>
              <w:bottom w:w="80" w:type="dxa"/>
              <w:left w:w="100" w:type="dxa"/>
              <w:right w:w="100" w:type="dxa"/>
            </w:tcMar>
          </w:tcPr>
          <w:p>
            <w:r>
              <w:rPr>
                <w:sz w:val="18"/>
              </w:rPr>
              <w:t>Discount Store</w:t>
            </w:r>
          </w:p>
        </w:tc>
        <w:tc>
          <w:tcPr>
            <w:tcW w:type="dxa" w:w="1872"/>
            <w:shd w:fill="FFFFFF"/>
            <w:tcMar>
              <w:top w:w="80" w:type="dxa"/>
              <w:bottom w:w="80" w:type="dxa"/>
              <w:left w:w="100" w:type="dxa"/>
              <w:right w:w="100" w:type="dxa"/>
            </w:tcMar>
          </w:tcPr>
          <w:p>
            <w:r>
              <w:rPr>
                <w:sz w:val="18"/>
              </w:rPr>
              <w:t>DIS</w:t>
            </w:r>
          </w:p>
        </w:tc>
        <w:tc>
          <w:tcPr>
            <w:tcW w:type="dxa" w:w="1872"/>
            <w:shd w:fill="FFFFFF"/>
            <w:tcMar>
              <w:top w:w="80" w:type="dxa"/>
              <w:bottom w:w="80" w:type="dxa"/>
              <w:left w:w="100" w:type="dxa"/>
              <w:right w:w="100" w:type="dxa"/>
            </w:tcMar>
          </w:tcPr>
          <w:p>
            <w:r>
              <w:rPr>
                <w:sz w:val="18"/>
              </w:rPr>
              <w:t>750 – 1,100 m²</w:t>
            </w:r>
          </w:p>
        </w:tc>
        <w:tc>
          <w:tcPr>
            <w:tcW w:type="dxa" w:w="1872"/>
            <w:shd w:fill="FFFFFF"/>
            <w:tcMar>
              <w:top w:w="80" w:type="dxa"/>
              <w:bottom w:w="80" w:type="dxa"/>
              <w:left w:w="100" w:type="dxa"/>
              <w:right w:w="100" w:type="dxa"/>
            </w:tcMar>
          </w:tcPr>
          <w:p>
            <w:r>
              <w:rPr>
                <w:sz w:val="18"/>
              </w:rPr>
              <w:t>4 – 6 checkouts</w:t>
            </w:r>
          </w:p>
        </w:tc>
        <w:tc>
          <w:tcPr>
            <w:tcW w:type="dxa" w:w="1872"/>
            <w:shd w:fill="FFFFFF"/>
            <w:tcMar>
              <w:top w:w="80" w:type="dxa"/>
              <w:bottom w:w="80" w:type="dxa"/>
              <w:left w:w="100" w:type="dxa"/>
              <w:right w:w="100" w:type="dxa"/>
            </w:tcMar>
          </w:tcPr>
          <w:p>
            <w:r>
              <w:rPr>
                <w:sz w:val="18"/>
              </w:rPr>
              <w:t>Eurospin, Lidl, MD, Penny Market</w:t>
            </w:r>
          </w:p>
        </w:tc>
      </w:tr>
      <w:tr>
        <w:tc>
          <w:tcPr>
            <w:tcW w:type="dxa" w:w="1872"/>
            <w:shd w:fill="F7FBF9"/>
            <w:tcMar>
              <w:top w:w="80" w:type="dxa"/>
              <w:bottom w:w="80" w:type="dxa"/>
              <w:left w:w="100" w:type="dxa"/>
              <w:right w:w="100" w:type="dxa"/>
            </w:tcMar>
          </w:tcPr>
          <w:p>
            <w:r>
              <w:rPr>
                <w:sz w:val="18"/>
              </w:rPr>
              <w:t>Convenience / Proximity</w:t>
            </w:r>
          </w:p>
        </w:tc>
        <w:tc>
          <w:tcPr>
            <w:tcW w:type="dxa" w:w="1872"/>
            <w:shd w:fill="F7FBF9"/>
            <w:tcMar>
              <w:top w:w="80" w:type="dxa"/>
              <w:bottom w:w="80" w:type="dxa"/>
              <w:left w:w="100" w:type="dxa"/>
              <w:right w:w="100" w:type="dxa"/>
            </w:tcMar>
          </w:tcPr>
          <w:p>
            <w:r>
              <w:rPr>
                <w:sz w:val="18"/>
              </w:rPr>
              <w:t>LIS/VIC</w:t>
            </w:r>
          </w:p>
        </w:tc>
        <w:tc>
          <w:tcPr>
            <w:tcW w:type="dxa" w:w="1872"/>
            <w:shd w:fill="F7FBF9"/>
            <w:tcMar>
              <w:top w:w="80" w:type="dxa"/>
              <w:bottom w:w="80" w:type="dxa"/>
              <w:left w:w="100" w:type="dxa"/>
              <w:right w:w="100" w:type="dxa"/>
            </w:tcMar>
          </w:tcPr>
          <w:p>
            <w:r>
              <w:rPr>
                <w:sz w:val="18"/>
              </w:rPr>
              <w:t>150 – 500 m²</w:t>
            </w:r>
          </w:p>
        </w:tc>
        <w:tc>
          <w:tcPr>
            <w:tcW w:type="dxa" w:w="1872"/>
            <w:shd w:fill="F7FBF9"/>
            <w:tcMar>
              <w:top w:w="80" w:type="dxa"/>
              <w:bottom w:w="80" w:type="dxa"/>
              <w:left w:w="100" w:type="dxa"/>
              <w:right w:w="100" w:type="dxa"/>
            </w:tcMar>
          </w:tcPr>
          <w:p>
            <w:r>
              <w:rPr>
                <w:sz w:val="18"/>
              </w:rPr>
              <w:t>1 – 3 checkouts</w:t>
            </w:r>
          </w:p>
        </w:tc>
        <w:tc>
          <w:tcPr>
            <w:tcW w:type="dxa" w:w="1872"/>
            <w:shd w:fill="F7FBF9"/>
            <w:tcMar>
              <w:top w:w="80" w:type="dxa"/>
              <w:bottom w:w="80" w:type="dxa"/>
              <w:left w:w="100" w:type="dxa"/>
              <w:right w:w="100" w:type="dxa"/>
            </w:tcMar>
          </w:tcPr>
          <w:p>
            <w:r>
              <w:rPr>
                <w:sz w:val="18"/>
              </w:rPr>
              <w:t>Carrefour Express, Conad City, Crai</w:t>
            </w:r>
          </w:p>
        </w:tc>
      </w:tr>
    </w:tbl>
    <w:p>
      <w:pPr>
        <w:spacing w:after="120"/>
      </w:pPr>
    </w:p>
    <w:p>
      <w:pPr>
        <w:keepNext/>
        <w:spacing w:before="280" w:after="80"/>
      </w:pPr>
      <w:r>
        <w:rPr>
          <w:rFonts w:ascii="Calibri" w:hAnsi="Calibri"/>
          <w:b/>
          <w:color w:val="1E824C"/>
          <w:sz w:val="26"/>
        </w:rPr>
        <w:t>Level 3: Retail Intelligence &amp; Commercial Alliances</w:t>
      </w:r>
    </w:p>
    <w:p>
      <w:pPr>
        <w:pStyle w:val="ListBullet"/>
        <w:spacing w:after="60" w:line="276" w:lineRule="auto"/>
      </w:pPr>
      <w:r>
        <w:rPr>
          <w:b/>
          <w:color w:val="212529"/>
        </w:rPr>
        <w:t xml:space="preserve">Standardized Brand Extraction: </w:t>
      </w:r>
      <w:r>
        <w:rPr>
          <w:color w:val="212529"/>
        </w:rPr>
        <w:t>Normalizes raw strings (e.g. 'DECO MAXISTORE' -&gt; 'DECO', 'IPERCOOP BARI' -&gt; 'COOP').</w:t>
      </w:r>
    </w:p>
    <w:p>
      <w:pPr>
        <w:pStyle w:val="ListBullet"/>
        <w:spacing w:after="60" w:line="276" w:lineRule="auto"/>
      </w:pPr>
      <w:r>
        <w:rPr>
          <w:b/>
          <w:color w:val="212529"/>
        </w:rPr>
        <w:t xml:space="preserve">Retail Buying Group Resolution: </w:t>
      </w:r>
      <w:r>
        <w:rPr>
          <w:color w:val="212529"/>
        </w:rPr>
        <w:t>Maps banners to national commercial groups: CONAD, COOP ITALIA, ESSELUNGA, SELEX, GRUPPO VEGE, CRAI, CARREFOUR, AGORA, DESPAR, EUROSPIN, LIDL, MD. Unaligned grocers map to INDIPENDENTE / UNKNOWN.</w:t>
      </w:r>
    </w:p>
    <w:p>
      <w:pPr>
        <w:pStyle w:val="ListBullet"/>
        <w:spacing w:after="60" w:line="276" w:lineRule="auto"/>
      </w:pPr>
      <w:r>
        <w:rPr>
          <w:b/>
          <w:color w:val="212529"/>
        </w:rPr>
        <w:t xml:space="preserve">Nielsen Geographic Area: </w:t>
      </w:r>
      <w:r>
        <w:rPr>
          <w:color w:val="212529"/>
        </w:rPr>
        <w:t>Area 1 (Nord-Ovest), Area 2 (Nord-Est), Area 3 (Centro), Area 4 (Sud e Isole).</w:t>
      </w:r>
    </w:p>
    <w:p>
      <w:pPr>
        <w:pStyle w:val="ListBullet"/>
        <w:spacing w:after="60" w:line="276" w:lineRule="auto"/>
      </w:pPr>
      <w:r>
        <w:rPr>
          <w:b/>
          <w:color w:val="212529"/>
        </w:rPr>
        <w:t xml:space="preserve">Entity Embeddings: </w:t>
      </w:r>
      <w:r>
        <w:rPr>
          <w:color w:val="212529"/>
        </w:rPr>
        <w:t>Activates brand and alliance embeddings during neural network forward passes.</w:t>
      </w:r>
    </w:p>
    <w:p>
      <w:pPr>
        <w:keepNext/>
        <w:spacing w:before="280" w:after="80"/>
      </w:pPr>
      <w:r>
        <w:rPr>
          <w:rFonts w:ascii="Calibri" w:hAnsi="Calibri"/>
          <w:b/>
          <w:color w:val="1E824C"/>
          <w:sz w:val="26"/>
        </w:rPr>
        <w:t>Level 4: Spatial Catchment, Competitive Density &amp; Network Analysis</w:t>
      </w:r>
    </w:p>
    <w:p>
      <w:pPr>
        <w:pStyle w:val="ListBullet"/>
        <w:spacing w:after="60" w:line="276" w:lineRule="auto"/>
      </w:pPr>
      <w:r>
        <w:rPr>
          <w:b/>
          <w:color w:val="212529"/>
        </w:rPr>
        <w:t xml:space="preserve">Coripet Network Metrics: </w:t>
      </w:r>
      <w:r>
        <w:rPr>
          <w:color w:val="212529"/>
        </w:rPr>
        <w:t>Computes nearest Coripet RVM distance (km), and concentric machine counts (1 km, 3 km, 5 km, and Comune).</w:t>
      </w:r>
    </w:p>
    <w:p>
      <w:pPr>
        <w:pStyle w:val="ListBullet"/>
        <w:spacing w:after="60" w:line="276" w:lineRule="auto"/>
      </w:pPr>
      <w:r>
        <w:rPr>
          <w:b/>
          <w:color w:val="212529"/>
        </w:rPr>
        <w:t xml:space="preserve">Network Position Classification: </w:t>
      </w:r>
      <w:r>
        <w:rPr>
          <w:color w:val="212529"/>
        </w:rPr>
        <w:t>CANNIBALIZATION_ALERT (&lt; 1.2 km or 0m), DENSE_CLUSTER (&gt;= 5 in 5km), EXPANSION_NODE (1.5–10 km), ISOLATED_RVM (&gt; 10 km).</w:t>
      </w:r>
    </w:p>
    <w:p>
      <w:pPr>
        <w:pStyle w:val="ListBullet"/>
        <w:spacing w:after="60" w:line="276" w:lineRule="auto"/>
      </w:pPr>
      <w:r>
        <w:rPr>
          <w:b/>
          <w:color w:val="212529"/>
        </w:rPr>
        <w:t xml:space="preserve">Competitive Grocery Density: </w:t>
      </w:r>
      <w:r>
        <w:rPr>
          <w:color w:val="212529"/>
        </w:rPr>
        <w:t>Counts Supermarkets, Hypermarkets, Discounts, Neighborhood stores, and Commercial Shopping Centers (shopping_centers).</w:t>
      </w:r>
    </w:p>
    <w:p>
      <w:pPr>
        <w:pStyle w:val="ListBullet"/>
        <w:spacing w:after="60" w:line="276" w:lineRule="auto"/>
      </w:pPr>
      <w:r>
        <w:rPr>
          <w:b/>
          <w:color w:val="212529"/>
        </w:rPr>
        <w:t xml:space="preserve">Local Grocery Monopoly: </w:t>
      </w:r>
      <w:r>
        <w:rPr>
          <w:color w:val="212529"/>
        </w:rPr>
        <w:t>True when trade area grocery stores &lt;= 1 (or supermarkets &lt;= 1 with 0 hypermarkets).</w:t>
      </w:r>
    </w:p>
    <w:p>
      <w:pPr>
        <w:keepNext/>
        <w:spacing w:before="360" w:after="120"/>
      </w:pPr>
      <w:r>
        <w:rPr>
          <w:rFonts w:ascii="Calibri" w:hAnsi="Calibri"/>
          <w:b/>
          <w:color w:val="104B35"/>
          <w:sz w:val="32"/>
        </w:rPr>
        <w:t>3. Deep Learning Architecture (MultiTaskRVMNet)</w:t>
      </w:r>
    </w:p>
    <w:p>
      <w:r>
        <w:t>The predictive core is a custom PyTorch Multi-Task Tabular Neural Network trained on millions of historical daily Coripet operational records.</w:t>
      </w:r>
    </w:p>
    <w:p>
      <w:pPr>
        <w:keepNext/>
        <w:spacing w:before="280" w:after="80"/>
      </w:pPr>
      <w:r>
        <w:rPr>
          <w:rFonts w:ascii="Calibri" w:hAnsi="Calibri"/>
          <w:b/>
          <w:color w:val="1E824C"/>
          <w:sz w:val="26"/>
        </w:rPr>
        <w:t>Network Architecture Specification</w:t>
      </w:r>
    </w:p>
    <w:p>
      <w:pPr>
        <w:pStyle w:val="ListBullet"/>
        <w:spacing w:after="60" w:line="276" w:lineRule="auto"/>
      </w:pPr>
      <w:r>
        <w:rPr>
          <w:b/>
          <w:color w:val="212529"/>
        </w:rPr>
        <w:t xml:space="preserve">Categorical Entity Embeddings: </w:t>
      </w:r>
      <w:r>
        <w:rPr>
          <w:color w:val="212529"/>
        </w:rPr>
        <w:t>Trainable embedding layers for Insegna, TipoMacchina, Provincia, Regione, Gruppo, Nielsen Area, and Format. Unseen categories map to &lt;UNK&gt;.</w:t>
      </w:r>
    </w:p>
    <w:p>
      <w:pPr>
        <w:pStyle w:val="ListBullet"/>
        <w:spacing w:after="60" w:line="276" w:lineRule="auto"/>
      </w:pPr>
      <w:r>
        <w:rPr>
          <w:b/>
          <w:color w:val="212529"/>
        </w:rPr>
        <w:t xml:space="preserve">Continuous Feature Normalization: </w:t>
      </w:r>
      <w:r>
        <w:rPr>
          <w:color w:val="212529"/>
        </w:rPr>
        <w:t>Continuous attributes (coordinates, demographics, sales area, checkouts, network distances) normalized via RobustScaler.</w:t>
      </w:r>
    </w:p>
    <w:p>
      <w:pPr>
        <w:pStyle w:val="ListBullet"/>
        <w:spacing w:after="60" w:line="276" w:lineRule="auto"/>
      </w:pPr>
      <w:r>
        <w:rPr>
          <w:b/>
          <w:color w:val="212529"/>
        </w:rPr>
        <w:t xml:space="preserve">Shared Representation Trunk: </w:t>
      </w:r>
      <w:r>
        <w:rPr>
          <w:color w:val="212529"/>
        </w:rPr>
        <w:t>Dense layers [256 -&gt; 128 -&gt; 64] with GELU non-linear activations, LayerNorm, Dropout(0.2), and residual connections.</w:t>
      </w:r>
    </w:p>
    <w:p>
      <w:pPr>
        <w:pStyle w:val="ListBullet"/>
        <w:spacing w:after="60" w:line="276" w:lineRule="auto"/>
      </w:pPr>
      <w:r>
        <w:rPr>
          <w:b/>
          <w:color w:val="212529"/>
        </w:rPr>
        <w:t xml:space="preserve">Specialized Multi-Task Heads: </w:t>
      </w:r>
      <w:r>
        <w:rPr>
          <w:color w:val="212529"/>
        </w:rPr>
        <w:t>Dual regression heads predict log(1 + Bottiglie) and log(1 + Presenze) simultaneously under a balanced multi-task loss.</w:t>
      </w:r>
    </w:p>
    <w:p>
      <w:pPr>
        <w:keepNext/>
        <w:spacing w:before="280" w:after="80"/>
      </w:pPr>
      <w:r>
        <w:rPr>
          <w:rFonts w:ascii="Calibri" w:hAnsi="Calibri"/>
          <w:b/>
          <w:color w:val="1E824C"/>
          <w:sz w:val="26"/>
        </w:rPr>
        <w:t>84-Day Calendar Simulation Grid</w:t>
      </w:r>
    </w:p>
    <w:p>
      <w:r>
        <w:t>To eliminate seasonal distortion, the engine simulates an 84-day calendar composed of 12 full Monday-to-Sunday weeks centered on the second Monday of each month across 2026. This balances all four quarters:</w:t>
      </w:r>
    </w:p>
    <w:p>
      <w:pPr>
        <w:pStyle w:val="ListBullet"/>
        <w:spacing w:after="60" w:line="276" w:lineRule="auto"/>
      </w:pPr>
      <w:r>
        <w:rPr>
          <w:b/>
          <w:color w:val="212529"/>
        </w:rPr>
        <w:t xml:space="preserve">Winter (Dec – Feb): </w:t>
      </w:r>
      <w:r>
        <w:rPr>
          <w:color w:val="212529"/>
        </w:rPr>
        <w:t>Off-peak beverage consumption floor (~0.85x annual baseline).</w:t>
      </w:r>
    </w:p>
    <w:p>
      <w:pPr>
        <w:pStyle w:val="ListBullet"/>
        <w:spacing w:after="60" w:line="276" w:lineRule="auto"/>
      </w:pPr>
      <w:r>
        <w:rPr>
          <w:b/>
          <w:color w:val="212529"/>
        </w:rPr>
        <w:t xml:space="preserve">Spring (Mar – May): </w:t>
      </w:r>
      <w:r>
        <w:rPr>
          <w:color w:val="212529"/>
        </w:rPr>
        <w:t>Moderate recovery baseline (~0.98x annual baseline).</w:t>
      </w:r>
    </w:p>
    <w:p>
      <w:pPr>
        <w:pStyle w:val="ListBullet"/>
        <w:spacing w:after="60" w:line="276" w:lineRule="auto"/>
      </w:pPr>
      <w:r>
        <w:rPr>
          <w:b/>
          <w:color w:val="212529"/>
        </w:rPr>
        <w:t xml:space="preserve">Summer (Jun – Aug): </w:t>
      </w:r>
      <w:r>
        <w:rPr>
          <w:color w:val="212529"/>
        </w:rPr>
        <w:t>Peak hydration and recycling volume (~1.15x annual baseline).</w:t>
      </w:r>
    </w:p>
    <w:p>
      <w:pPr>
        <w:pStyle w:val="ListBullet"/>
        <w:spacing w:after="60" w:line="276" w:lineRule="auto"/>
      </w:pPr>
      <w:r>
        <w:rPr>
          <w:b/>
          <w:color w:val="212529"/>
        </w:rPr>
        <w:t xml:space="preserve">Autumn (Sep – Nov): </w:t>
      </w:r>
      <w:r>
        <w:rPr>
          <w:color w:val="212529"/>
        </w:rPr>
        <w:t>Steady-state return (~0.98x annual baseline).</w:t>
      </w:r>
    </w:p>
    <w:p>
      <w:pPr>
        <w:keepNext/>
        <w:spacing w:before="280" w:after="80"/>
      </w:pPr>
      <w:r>
        <w:rPr>
          <w:rFonts w:ascii="Calibri" w:hAnsi="Calibri"/>
          <w:b/>
          <w:color w:val="1E824C"/>
          <w:sz w:val="26"/>
        </w:rPr>
        <w:t>Dual-Metric Reporting: Arithmetic Mean vs. Median</w:t>
      </w:r>
    </w:p>
    <w:p>
      <w:r>
        <w:t>Both Arithmetic Mean and Median (50th percentile) are reported side-by-side across all tables:</w:t>
      </w:r>
    </w:p>
    <w:p>
      <w:pPr>
        <w:pStyle w:val="ListBullet"/>
        <w:spacing w:after="60" w:line="276" w:lineRule="auto"/>
      </w:pPr>
      <w:r>
        <w:rPr>
          <w:b/>
          <w:color w:val="212529"/>
        </w:rPr>
        <w:t xml:space="preserve">Arithmetic Mean: </w:t>
      </w:r>
      <w:r>
        <w:rPr>
          <w:color w:val="212529"/>
        </w:rPr>
        <w:t>Additive and linear: Mean x 365 = Annual Cumulative Collection. Essential for financial underwriting, resin weight forecasting, and recycling fee budgeting.</w:t>
      </w:r>
    </w:p>
    <w:p>
      <w:pPr>
        <w:pStyle w:val="ListBullet"/>
        <w:spacing w:after="60" w:line="276" w:lineRule="auto"/>
      </w:pPr>
      <w:r>
        <w:rPr>
          <w:b/>
          <w:color w:val="212529"/>
        </w:rPr>
        <w:t xml:space="preserve">Median (50th Percentile): </w:t>
      </w:r>
      <w:r>
        <w:rPr>
          <w:color w:val="212529"/>
        </w:rPr>
        <w:t>Outlier-resistant: Insensitive to temporary summer spikes or abnormal downtime drops. Reflects the typical daily rhythm for store managers and truck dispatchers.</w:t>
      </w:r>
    </w:p>
    <w:p>
      <w:pPr>
        <w:keepNext/>
        <w:spacing w:before="360" w:after="120"/>
      </w:pPr>
      <w:r>
        <w:rPr>
          <w:rFonts w:ascii="Calibri" w:hAnsi="Calibri"/>
          <w:b/>
          <w:color w:val="104B35"/>
          <w:sz w:val="32"/>
        </w:rPr>
        <w:t>4. Catchment Realization, Dilution &amp; Monopoly Physics Layer</w:t>
      </w:r>
    </w:p>
    <w:p>
      <w:r>
        <w:t>The neural network predicts an Unconstrained Standalone Potential (monopoly ceiling). The Catchment Realization Layer converts this into a Realized Operational Forecast by calculating the realization factor (kappa):</w:t>
      </w:r>
    </w:p>
    <w:p>
      <w:r>
        <w:t>Realized Daily Bottles = Unconstrained Daily Bottles x kappa</w:t>
      </w:r>
    </w:p>
    <w:p>
      <w:r>
        <w:t>Realized Daily Users = Unconstrained Daily Users x sqrt(kappa)</w:t>
      </w:r>
    </w:p>
    <w:p>
      <w:pPr>
        <w:keepNext/>
        <w:spacing w:before="280" w:after="80"/>
      </w:pPr>
      <w:r>
        <w:rPr>
          <w:rFonts w:ascii="Calibri" w:hAnsi="Calibri"/>
          <w:b/>
          <w:color w:val="1E824C"/>
          <w:sz w:val="26"/>
        </w:rPr>
        <w:t>Friction &amp; Dilution Penalties</w:t>
      </w:r>
    </w:p>
    <w:p>
      <w:pPr>
        <w:pStyle w:val="ListBullet"/>
        <w:spacing w:after="60" w:line="276" w:lineRule="auto"/>
      </w:pPr>
      <w:r>
        <w:rPr>
          <w:b/>
          <w:color w:val="212529"/>
        </w:rPr>
        <w:t xml:space="preserve">Direct Cannibalization Penalty: </w:t>
      </w:r>
      <w:r>
        <w:rPr>
          <w:color w:val="212529"/>
        </w:rPr>
        <w:t>Co-location / 0m overlap carries a -45% to -50% penalty; &lt;= 500m carries -30%; &lt;= 1.0 km carries -15%.</w:t>
      </w:r>
    </w:p>
    <w:p>
      <w:pPr>
        <w:pStyle w:val="ListBullet"/>
        <w:spacing w:after="60" w:line="276" w:lineRule="auto"/>
      </w:pPr>
      <w:r>
        <w:rPr>
          <w:b/>
          <w:color w:val="212529"/>
        </w:rPr>
        <w:t xml:space="preserve">Multi-RVM Cluster Saturation: </w:t>
      </w:r>
      <w:r>
        <w:rPr>
          <w:color w:val="212529"/>
        </w:rPr>
        <w:t>&gt;= 8 Coripet RVMs within 3 km = -32%; &gt;= 5 RVMs = -20%; &gt;= 3 RVMs = -10%.</w:t>
      </w:r>
    </w:p>
    <w:p>
      <w:pPr>
        <w:pStyle w:val="ListBullet"/>
        <w:spacing w:after="60" w:line="276" w:lineRule="auto"/>
      </w:pPr>
      <w:r>
        <w:rPr>
          <w:b/>
          <w:color w:val="212529"/>
        </w:rPr>
        <w:t xml:space="preserve">Commercial Food Corridor: </w:t>
      </w:r>
      <w:r>
        <w:rPr>
          <w:color w:val="212529"/>
        </w:rPr>
        <w:t>&gt;= 30 grocery competitors in trade area = -14%; &gt;= 20 competitors = -8%.</w:t>
      </w:r>
    </w:p>
    <w:p>
      <w:pPr>
        <w:pStyle w:val="ListBullet"/>
        <w:spacing w:after="60" w:line="276" w:lineRule="auto"/>
      </w:pPr>
      <w:r>
        <w:rPr>
          <w:b/>
          <w:color w:val="212529"/>
        </w:rPr>
        <w:t xml:space="preserve">Proximity Format Calibration: </w:t>
      </w:r>
      <w:r>
        <w:rPr>
          <w:color w:val="212529"/>
        </w:rPr>
        <w:t>Small urban independent convenience stores (&lt; 400 m² or &lt;= 2 checkouts) receive a -28% walk-in pedestrian calibration.</w:t>
      </w:r>
    </w:p>
    <w:p>
      <w:pPr>
        <w:keepNext/>
        <w:spacing w:before="280" w:after="80"/>
      </w:pPr>
      <w:r>
        <w:rPr>
          <w:rFonts w:ascii="Calibri" w:hAnsi="Calibri"/>
          <w:b/>
          <w:color w:val="1E824C"/>
          <w:sz w:val="26"/>
        </w:rPr>
        <w:t>Rural Monopoly &amp; Southern Bulk Deposit Physics</w:t>
      </w:r>
    </w:p>
    <w:p>
      <w:pPr>
        <w:pStyle w:val="ListBullet"/>
        <w:spacing w:after="60" w:line="276" w:lineRule="auto"/>
      </w:pPr>
      <w:r>
        <w:rPr>
          <w:b/>
          <w:color w:val="212529"/>
        </w:rPr>
        <w:t xml:space="preserve">Walk-In Penalty Exemption: </w:t>
      </w:r>
      <w:r>
        <w:rPr>
          <w:color w:val="212529"/>
        </w:rPr>
        <w:t>Walk-in penalties are bypassed when grocery stores &lt;= 1 or density &lt; 150 inh/km². Rural shoppers travel by car and carry bulk crates.</w:t>
      </w:r>
    </w:p>
    <w:p>
      <w:pPr>
        <w:pStyle w:val="ListBullet"/>
        <w:spacing w:after="60" w:line="276" w:lineRule="auto"/>
      </w:pPr>
      <w:r>
        <w:rPr>
          <w:b/>
          <w:color w:val="212529"/>
        </w:rPr>
        <w:t xml:space="preserve">Municipal Grocery Monopoly Uplift: </w:t>
      </w:r>
      <w:r>
        <w:rPr>
          <w:color w:val="212529"/>
        </w:rPr>
        <w:t>Sole grocery store in municipality (density &lt; 150) receives a +45% monopoly uplift; semi-rural anchor receives +20%.</w:t>
      </w:r>
    </w:p>
    <w:p>
      <w:pPr>
        <w:pStyle w:val="ListBullet"/>
        <w:spacing w:after="60" w:line="276" w:lineRule="auto"/>
      </w:pPr>
      <w:r>
        <w:rPr>
          <w:b/>
          <w:color w:val="212529"/>
        </w:rPr>
        <w:t xml:space="preserve">Southern Italy Bulk Deposit Multiplier: </w:t>
      </w:r>
      <w:r>
        <w:rPr>
          <w:color w:val="212529"/>
        </w:rPr>
        <w:t>In Nielsen Area 4 with density &lt; 150 inh/km², a +20% bulk drop multiplier is applied, reflecting 43.5 b/user empirical behavior.</w:t>
      </w:r>
    </w:p>
    <w:p>
      <w:pPr>
        <w:keepNext/>
        <w:spacing w:before="280" w:after="80"/>
      </w:pPr>
      <w:r>
        <w:rPr>
          <w:rFonts w:ascii="Calibri" w:hAnsi="Calibri"/>
          <w:b/>
          <w:color w:val="1E824C"/>
          <w:sz w:val="26"/>
        </w:rPr>
        <w:t>Operational Capacity Scenarios (Statistical Quantiles)</w:t>
      </w:r>
    </w:p>
    <w:p>
      <w:pPr>
        <w:pStyle w:val="ListBullet"/>
        <w:spacing w:after="60" w:line="276" w:lineRule="auto"/>
      </w:pPr>
      <w:r>
        <w:rPr>
          <w:b/>
          <w:color w:val="212529"/>
        </w:rPr>
        <w:t xml:space="preserve">Conservative Floor (P25): </w:t>
      </w:r>
      <w:r>
        <w:rPr>
          <w:color w:val="212529"/>
        </w:rPr>
        <w:t>25th percentile underwriting safety net (~82% of steady-state mean). Baseline collection during adverse weather or downtime.</w:t>
      </w:r>
    </w:p>
    <w:p>
      <w:pPr>
        <w:pStyle w:val="ListBullet"/>
        <w:spacing w:after="60" w:line="276" w:lineRule="auto"/>
      </w:pPr>
      <w:r>
        <w:rPr>
          <w:b/>
          <w:color w:val="212529"/>
        </w:rPr>
        <w:t xml:space="preserve">Steady-State Base (P50): </w:t>
      </w:r>
      <w:r>
        <w:rPr>
          <w:color w:val="212529"/>
        </w:rPr>
        <w:t>50th percentile / Median operational baseline expectation.</w:t>
      </w:r>
    </w:p>
    <w:p>
      <w:pPr>
        <w:pStyle w:val="ListBullet"/>
        <w:spacing w:after="60" w:line="276" w:lineRule="auto"/>
      </w:pPr>
      <w:r>
        <w:rPr>
          <w:b/>
          <w:color w:val="212529"/>
        </w:rPr>
        <w:t xml:space="preserve">Optimistic Peak (P75): </w:t>
      </w:r>
      <w:r>
        <w:rPr>
          <w:color w:val="212529"/>
        </w:rPr>
        <w:t>75th percentile upper capacity ceiling (~125% of steady-state mean). Peak summer collection.</w:t>
      </w:r>
    </w:p>
    <w:p>
      <w:pPr>
        <w:keepNext/>
        <w:spacing w:before="360" w:after="120"/>
      </w:pPr>
      <w:r>
        <w:rPr>
          <w:rFonts w:ascii="Calibri" w:hAnsi="Calibri"/>
          <w:b/>
          <w:color w:val="104B35"/>
          <w:sz w:val="32"/>
        </w:rPr>
        <w:t>5. Location Suitability &amp; Clearance Gate Engine (Go / No-Go Gate)</w:t>
      </w:r>
    </w:p>
    <w:p>
      <w:r>
        <w:t>The Location Suitability &amp; Clearance Gate Engine serves as the authoritative operational and capital allocation gatekeeper. Every candidate site is evaluated across 7 operational, physical, and economic clearance gates:</w:t>
      </w:r>
    </w:p>
    <w:tbl>
      <w:tblPr>
        <w:tblW w:type="auto" w:w="0"/>
        <w:jc w:val="center"/>
        <w:tblLook w:firstColumn="1" w:firstRow="1" w:lastColumn="0" w:lastRow="0" w:noHBand="0" w:noVBand="1" w:val="04A0"/>
      </w:tblPr>
      <w:tblGrid>
        <w:gridCol w:w="2340"/>
        <w:gridCol w:w="2340"/>
        <w:gridCol w:w="2340"/>
        <w:gridCol w:w="2340"/>
      </w:tblGrid>
      <w:tr>
        <w:tc>
          <w:tcPr>
            <w:tcW w:type="dxa" w:w="2340"/>
            <w:shd w:fill="104B35"/>
            <w:tcMar>
              <w:top w:w="100" w:type="dxa"/>
              <w:bottom w:w="100" w:type="dxa"/>
              <w:left w:w="120" w:type="dxa"/>
              <w:right w:w="120" w:type="dxa"/>
            </w:tcMar>
          </w:tcPr>
          <w:p>
            <w:r>
              <w:rPr>
                <w:b/>
                <w:color w:val="FFFFFF"/>
                <w:sz w:val="19"/>
              </w:rPr>
              <w:t>Gate Name</w:t>
            </w:r>
          </w:p>
        </w:tc>
        <w:tc>
          <w:tcPr>
            <w:tcW w:type="dxa" w:w="2340"/>
            <w:shd w:fill="104B35"/>
            <w:tcMar>
              <w:top w:w="100" w:type="dxa"/>
              <w:bottom w:w="100" w:type="dxa"/>
              <w:left w:w="120" w:type="dxa"/>
              <w:right w:w="120" w:type="dxa"/>
            </w:tcMar>
          </w:tcPr>
          <w:p>
            <w:r>
              <w:rPr>
                <w:b/>
                <w:color w:val="FFFFFF"/>
                <w:sz w:val="19"/>
              </w:rPr>
              <w:t>Evaluation Dimension</w:t>
            </w:r>
          </w:p>
        </w:tc>
        <w:tc>
          <w:tcPr>
            <w:tcW w:type="dxa" w:w="2340"/>
            <w:shd w:fill="104B35"/>
            <w:tcMar>
              <w:top w:w="100" w:type="dxa"/>
              <w:bottom w:w="100" w:type="dxa"/>
              <w:left w:w="120" w:type="dxa"/>
              <w:right w:w="120" w:type="dxa"/>
            </w:tcMar>
          </w:tcPr>
          <w:p>
            <w:r>
              <w:rPr>
                <w:b/>
                <w:color w:val="FFFFFF"/>
                <w:sz w:val="19"/>
              </w:rPr>
              <w:t>Clearance Thresholds</w:t>
            </w:r>
          </w:p>
        </w:tc>
        <w:tc>
          <w:tcPr>
            <w:tcW w:type="dxa" w:w="2340"/>
            <w:shd w:fill="104B35"/>
            <w:tcMar>
              <w:top w:w="100" w:type="dxa"/>
              <w:bottom w:w="100" w:type="dxa"/>
              <w:left w:w="120" w:type="dxa"/>
              <w:right w:w="120" w:type="dxa"/>
            </w:tcMar>
          </w:tcPr>
          <w:p>
            <w:r>
              <w:rPr>
                <w:b/>
                <w:color w:val="FFFFFF"/>
                <w:sz w:val="19"/>
              </w:rPr>
              <w:t>Penalties / Verdict Impact</w:t>
            </w:r>
          </w:p>
        </w:tc>
      </w:tr>
      <w:tr>
        <w:tc>
          <w:tcPr>
            <w:tcW w:type="dxa" w:w="2340"/>
            <w:shd w:fill="F7FBF9"/>
            <w:tcMar>
              <w:top w:w="80" w:type="dxa"/>
              <w:bottom w:w="80" w:type="dxa"/>
              <w:left w:w="100" w:type="dxa"/>
              <w:right w:w="100" w:type="dxa"/>
            </w:tcMar>
          </w:tcPr>
          <w:p>
            <w:r>
              <w:rPr>
                <w:sz w:val="17"/>
              </w:rPr>
              <w:t>Gate 1: Spatial Cannibalization</w:t>
            </w:r>
          </w:p>
        </w:tc>
        <w:tc>
          <w:tcPr>
            <w:tcW w:type="dxa" w:w="2340"/>
            <w:shd w:fill="F7FBF9"/>
            <w:tcMar>
              <w:top w:w="80" w:type="dxa"/>
              <w:bottom w:w="80" w:type="dxa"/>
              <w:left w:w="100" w:type="dxa"/>
              <w:right w:w="100" w:type="dxa"/>
            </w:tcMar>
          </w:tcPr>
          <w:p>
            <w:r>
              <w:rPr>
                <w:sz w:val="17"/>
              </w:rPr>
              <w:t>Catchment Overlap &amp; RVM Proximity</w:t>
            </w:r>
          </w:p>
        </w:tc>
        <w:tc>
          <w:tcPr>
            <w:tcW w:type="dxa" w:w="2340"/>
            <w:shd w:fill="F7FBF9"/>
            <w:tcMar>
              <w:top w:w="80" w:type="dxa"/>
              <w:bottom w:w="80" w:type="dxa"/>
              <w:left w:w="100" w:type="dxa"/>
              <w:right w:w="100" w:type="dxa"/>
            </w:tcMar>
          </w:tcPr>
          <w:p>
            <w:r>
              <w:rPr>
                <w:sz w:val="17"/>
              </w:rPr>
              <w:t>[FAIL] Dist &lt; 250m or Dilution &gt;= 35%</w:t>
              <w:br/>
              <w:t>[WARN] Dist &lt; 750m or Dilution &gt;= 15%</w:t>
              <w:br/>
              <w:t>[PASS] Dist &gt;= 750m</w:t>
            </w:r>
          </w:p>
        </w:tc>
        <w:tc>
          <w:tcPr>
            <w:tcW w:type="dxa" w:w="2340"/>
            <w:shd w:fill="F7FBF9"/>
            <w:tcMar>
              <w:top w:w="80" w:type="dxa"/>
              <w:bottom w:w="80" w:type="dxa"/>
              <w:left w:w="100" w:type="dxa"/>
              <w:right w:w="100" w:type="dxa"/>
            </w:tcMar>
          </w:tcPr>
          <w:p>
            <w:r>
              <w:rPr>
                <w:sz w:val="17"/>
              </w:rPr>
              <w:t>[FAIL] -45 pts -&gt; REJECT</w:t>
              <w:br/>
              <w:t>[WARN] -20 pts -&gt; REVIEW</w:t>
            </w:r>
          </w:p>
        </w:tc>
      </w:tr>
      <w:tr>
        <w:tc>
          <w:tcPr>
            <w:tcW w:type="dxa" w:w="2340"/>
            <w:shd w:fill="FFFFFF"/>
            <w:tcMar>
              <w:top w:w="80" w:type="dxa"/>
              <w:bottom w:w="80" w:type="dxa"/>
              <w:left w:w="100" w:type="dxa"/>
              <w:right w:w="100" w:type="dxa"/>
            </w:tcMar>
          </w:tcPr>
          <w:p>
            <w:r>
              <w:rPr>
                <w:sz w:val="17"/>
              </w:rPr>
              <w:t>Gate 2: Economic Breakeven</w:t>
            </w:r>
          </w:p>
        </w:tc>
        <w:tc>
          <w:tcPr>
            <w:tcW w:type="dxa" w:w="2340"/>
            <w:shd w:fill="FFFFFF"/>
            <w:tcMar>
              <w:top w:w="80" w:type="dxa"/>
              <w:bottom w:w="80" w:type="dxa"/>
              <w:left w:w="100" w:type="dxa"/>
              <w:right w:w="100" w:type="dxa"/>
            </w:tcMar>
          </w:tcPr>
          <w:p>
            <w:r>
              <w:rPr>
                <w:sz w:val="17"/>
              </w:rPr>
              <w:t>Volume vs 120 b/d Operating Floor</w:t>
            </w:r>
          </w:p>
        </w:tc>
        <w:tc>
          <w:tcPr>
            <w:tcW w:type="dxa" w:w="2340"/>
            <w:shd w:fill="FFFFFF"/>
            <w:tcMar>
              <w:top w:w="80" w:type="dxa"/>
              <w:bottom w:w="80" w:type="dxa"/>
              <w:left w:w="100" w:type="dxa"/>
              <w:right w:w="100" w:type="dxa"/>
            </w:tcMar>
          </w:tcPr>
          <w:p>
            <w:r>
              <w:rPr>
                <w:sz w:val="17"/>
              </w:rPr>
              <w:t>[FAIL] Realized &lt; 108 b/d (Floor &lt; 90 b/d)</w:t>
              <w:br/>
              <w:t>[WARN] Realized &lt; 150 b/d</w:t>
              <w:br/>
              <w:t>[PASS] Realized &gt;= 150 b/d (&gt;= 600 b/d = +5 pts)</w:t>
            </w:r>
          </w:p>
        </w:tc>
        <w:tc>
          <w:tcPr>
            <w:tcW w:type="dxa" w:w="2340"/>
            <w:shd w:fill="FFFFFF"/>
            <w:tcMar>
              <w:top w:w="80" w:type="dxa"/>
              <w:bottom w:w="80" w:type="dxa"/>
              <w:left w:w="100" w:type="dxa"/>
              <w:right w:w="100" w:type="dxa"/>
            </w:tcMar>
          </w:tcPr>
          <w:p>
            <w:r>
              <w:rPr>
                <w:sz w:val="17"/>
              </w:rPr>
              <w:t>[FAIL] -40 pts -&gt; REJECT</w:t>
              <w:br/>
              <w:t>[WARN] -15 pts -&gt; REVIEW</w:t>
            </w:r>
          </w:p>
        </w:tc>
      </w:tr>
      <w:tr>
        <w:tc>
          <w:tcPr>
            <w:tcW w:type="dxa" w:w="2340"/>
            <w:shd w:fill="F7FBF9"/>
            <w:tcMar>
              <w:top w:w="80" w:type="dxa"/>
              <w:bottom w:w="80" w:type="dxa"/>
              <w:left w:w="100" w:type="dxa"/>
              <w:right w:w="100" w:type="dxa"/>
            </w:tcMar>
          </w:tcPr>
          <w:p>
            <w:r>
              <w:rPr>
                <w:sz w:val="17"/>
              </w:rPr>
              <w:t>Gate 3: Store Format &amp; Footprint</w:t>
            </w:r>
          </w:p>
        </w:tc>
        <w:tc>
          <w:tcPr>
            <w:tcW w:type="dxa" w:w="2340"/>
            <w:shd w:fill="F7FBF9"/>
            <w:tcMar>
              <w:top w:w="80" w:type="dxa"/>
              <w:bottom w:w="80" w:type="dxa"/>
              <w:left w:w="100" w:type="dxa"/>
              <w:right w:w="100" w:type="dxa"/>
            </w:tcMar>
          </w:tcPr>
          <w:p>
            <w:r>
              <w:rPr>
                <w:sz w:val="17"/>
              </w:rPr>
              <w:t>Physical Floorplan &amp; Queuing Space</w:t>
            </w:r>
          </w:p>
        </w:tc>
        <w:tc>
          <w:tcPr>
            <w:tcW w:type="dxa" w:w="2340"/>
            <w:shd w:fill="F7FBF9"/>
            <w:tcMar>
              <w:top w:w="80" w:type="dxa"/>
              <w:bottom w:w="80" w:type="dxa"/>
              <w:left w:w="100" w:type="dxa"/>
              <w:right w:w="100" w:type="dxa"/>
            </w:tcMar>
          </w:tcPr>
          <w:p>
            <w:r>
              <w:rPr>
                <w:sz w:val="17"/>
              </w:rPr>
              <w:t>[FAIL] Sales Area &lt; 150 m² or Casse &lt; 2</w:t>
              <w:br/>
              <w:t>[WARN] Sales Area &lt; 300 m²</w:t>
              <w:br/>
              <w:t>[PASS] Sales Area &gt;= 300 m² &amp; Casse &gt;= 3</w:t>
            </w:r>
          </w:p>
        </w:tc>
        <w:tc>
          <w:tcPr>
            <w:tcW w:type="dxa" w:w="2340"/>
            <w:shd w:fill="F7FBF9"/>
            <w:tcMar>
              <w:top w:w="80" w:type="dxa"/>
              <w:bottom w:w="80" w:type="dxa"/>
              <w:left w:w="100" w:type="dxa"/>
              <w:right w:w="100" w:type="dxa"/>
            </w:tcMar>
          </w:tcPr>
          <w:p>
            <w:r>
              <w:rPr>
                <w:sz w:val="17"/>
              </w:rPr>
              <w:t>[FAIL] -30 pts -&gt; REJECT</w:t>
              <w:br/>
              <w:t>[WARN] -10 pts -&gt; REVIEW</w:t>
            </w:r>
          </w:p>
        </w:tc>
      </w:tr>
      <w:tr>
        <w:tc>
          <w:tcPr>
            <w:tcW w:type="dxa" w:w="2340"/>
            <w:shd w:fill="FFFFFF"/>
            <w:tcMar>
              <w:top w:w="80" w:type="dxa"/>
              <w:bottom w:w="80" w:type="dxa"/>
              <w:left w:w="100" w:type="dxa"/>
              <w:right w:w="100" w:type="dxa"/>
            </w:tcMar>
          </w:tcPr>
          <w:p>
            <w:r>
              <w:rPr>
                <w:sz w:val="17"/>
              </w:rPr>
              <w:t>Gate 4: Demographic Catchment</w:t>
            </w:r>
          </w:p>
        </w:tc>
        <w:tc>
          <w:tcPr>
            <w:tcW w:type="dxa" w:w="2340"/>
            <w:shd w:fill="FFFFFF"/>
            <w:tcMar>
              <w:top w:w="80" w:type="dxa"/>
              <w:bottom w:w="80" w:type="dxa"/>
              <w:left w:w="100" w:type="dxa"/>
              <w:right w:w="100" w:type="dxa"/>
            </w:tcMar>
          </w:tcPr>
          <w:p>
            <w:r>
              <w:rPr>
                <w:sz w:val="17"/>
              </w:rPr>
              <w:t>Population Hub &amp; Resident Density</w:t>
            </w:r>
          </w:p>
        </w:tc>
        <w:tc>
          <w:tcPr>
            <w:tcW w:type="dxa" w:w="2340"/>
            <w:shd w:fill="FFFFFF"/>
            <w:tcMar>
              <w:top w:w="80" w:type="dxa"/>
              <w:bottom w:w="80" w:type="dxa"/>
              <w:left w:w="100" w:type="dxa"/>
              <w:right w:w="100" w:type="dxa"/>
            </w:tcMar>
          </w:tcPr>
          <w:p>
            <w:r>
              <w:rPr>
                <w:sz w:val="17"/>
              </w:rPr>
              <w:t>[FAIL] Pop &lt; 2,000 &amp; Density &lt; 60 &amp; Stores &lt;= 1</w:t>
              <w:br/>
              <w:t>[WARN] Pop &lt; 5,000 or Density &lt; 120</w:t>
              <w:br/>
              <w:t>[PASS] Pop &gt;= 5,000 &amp; Density &gt;= 120</w:t>
            </w:r>
          </w:p>
        </w:tc>
        <w:tc>
          <w:tcPr>
            <w:tcW w:type="dxa" w:w="2340"/>
            <w:shd w:fill="FFFFFF"/>
            <w:tcMar>
              <w:top w:w="80" w:type="dxa"/>
              <w:bottom w:w="80" w:type="dxa"/>
              <w:left w:w="100" w:type="dxa"/>
              <w:right w:w="100" w:type="dxa"/>
            </w:tcMar>
          </w:tcPr>
          <w:p>
            <w:r>
              <w:rPr>
                <w:sz w:val="17"/>
              </w:rPr>
              <w:t>[FAIL] -25 pts -&gt; REJECT</w:t>
              <w:br/>
              <w:t>[WARN] -10 pts -&gt; REVIEW</w:t>
            </w:r>
          </w:p>
        </w:tc>
      </w:tr>
      <w:tr>
        <w:tc>
          <w:tcPr>
            <w:tcW w:type="dxa" w:w="2340"/>
            <w:shd w:fill="F7FBF9"/>
            <w:tcMar>
              <w:top w:w="80" w:type="dxa"/>
              <w:bottom w:w="80" w:type="dxa"/>
              <w:left w:w="100" w:type="dxa"/>
              <w:right w:w="100" w:type="dxa"/>
            </w:tcMar>
          </w:tcPr>
          <w:p>
            <w:r>
              <w:rPr>
                <w:sz w:val="17"/>
              </w:rPr>
              <w:t>Gate 5: Hardware Sizing Match</w:t>
            </w:r>
          </w:p>
        </w:tc>
        <w:tc>
          <w:tcPr>
            <w:tcW w:type="dxa" w:w="2340"/>
            <w:shd w:fill="F7FBF9"/>
            <w:tcMar>
              <w:top w:w="80" w:type="dxa"/>
              <w:bottom w:w="80" w:type="dxa"/>
              <w:left w:w="100" w:type="dxa"/>
              <w:right w:w="100" w:type="dxa"/>
            </w:tcMar>
          </w:tcPr>
          <w:p>
            <w:r>
              <w:rPr>
                <w:sz w:val="17"/>
              </w:rPr>
              <w:t>Capex &amp; Capacity Optimization</w:t>
            </w:r>
          </w:p>
        </w:tc>
        <w:tc>
          <w:tcPr>
            <w:tcW w:type="dxa" w:w="2340"/>
            <w:shd w:fill="F7FBF9"/>
            <w:tcMar>
              <w:top w:w="80" w:type="dxa"/>
              <w:bottom w:w="80" w:type="dxa"/>
              <w:left w:w="100" w:type="dxa"/>
              <w:right w:w="100" w:type="dxa"/>
            </w:tcMar>
          </w:tcPr>
          <w:p>
            <w:r>
              <w:rPr>
                <w:sz w:val="17"/>
              </w:rPr>
              <w:t>[WARN] Heavy unit on &lt; 250 b/d (Oversized)</w:t>
              <w:br/>
              <w:t>[WARN] Compact unit on &gt; 600 b/d (Undercapacity)</w:t>
              <w:br/>
              <w:t>[PASS] Hardware aligned with volume</w:t>
            </w:r>
          </w:p>
        </w:tc>
        <w:tc>
          <w:tcPr>
            <w:tcW w:type="dxa" w:w="2340"/>
            <w:shd w:fill="F7FBF9"/>
            <w:tcMar>
              <w:top w:w="80" w:type="dxa"/>
              <w:bottom w:w="80" w:type="dxa"/>
              <w:left w:w="100" w:type="dxa"/>
              <w:right w:w="100" w:type="dxa"/>
            </w:tcMar>
          </w:tcPr>
          <w:p>
            <w:r>
              <w:rPr>
                <w:sz w:val="17"/>
              </w:rPr>
              <w:t>[WARN] -10 pts -&gt; Downsize to Ripet_V2 / Upgrade to DAINT_G</w:t>
            </w:r>
          </w:p>
        </w:tc>
      </w:tr>
      <w:tr>
        <w:tc>
          <w:tcPr>
            <w:tcW w:type="dxa" w:w="2340"/>
            <w:shd w:fill="FFFFFF"/>
            <w:tcMar>
              <w:top w:w="80" w:type="dxa"/>
              <w:bottom w:w="80" w:type="dxa"/>
              <w:left w:w="100" w:type="dxa"/>
              <w:right w:w="100" w:type="dxa"/>
            </w:tcMar>
          </w:tcPr>
          <w:p>
            <w:r>
              <w:rPr>
                <w:sz w:val="17"/>
              </w:rPr>
              <w:t>Gate 6: Commercial Loyalty Alliance</w:t>
            </w:r>
          </w:p>
        </w:tc>
        <w:tc>
          <w:tcPr>
            <w:tcW w:type="dxa" w:w="2340"/>
            <w:shd w:fill="FFFFFF"/>
            <w:tcMar>
              <w:top w:w="80" w:type="dxa"/>
              <w:bottom w:w="80" w:type="dxa"/>
              <w:left w:w="100" w:type="dxa"/>
              <w:right w:w="100" w:type="dxa"/>
            </w:tcMar>
          </w:tcPr>
          <w:p>
            <w:r>
              <w:rPr>
                <w:sz w:val="17"/>
              </w:rPr>
              <w:t>Retail Group Loyalty Vouchers</w:t>
            </w:r>
          </w:p>
        </w:tc>
        <w:tc>
          <w:tcPr>
            <w:tcW w:type="dxa" w:w="2340"/>
            <w:shd w:fill="FFFFFF"/>
            <w:tcMar>
              <w:top w:w="80" w:type="dxa"/>
              <w:bottom w:w="80" w:type="dxa"/>
              <w:left w:w="100" w:type="dxa"/>
              <w:right w:w="100" w:type="dxa"/>
            </w:tcMar>
          </w:tcPr>
          <w:p>
            <w:r>
              <w:rPr>
                <w:sz w:val="17"/>
              </w:rPr>
              <w:t>[WARN] Independent banner on &lt; 180 b/d</w:t>
              <w:br/>
              <w:t>[PASS] Active chain alliance or volume &gt;= 180 b/d</w:t>
            </w:r>
          </w:p>
        </w:tc>
        <w:tc>
          <w:tcPr>
            <w:tcW w:type="dxa" w:w="2340"/>
            <w:shd w:fill="FFFFFF"/>
            <w:tcMar>
              <w:top w:w="80" w:type="dxa"/>
              <w:bottom w:w="80" w:type="dxa"/>
              <w:left w:w="100" w:type="dxa"/>
              <w:right w:w="100" w:type="dxa"/>
            </w:tcMar>
          </w:tcPr>
          <w:p>
            <w:r>
              <w:rPr>
                <w:sz w:val="17"/>
              </w:rPr>
              <w:t>[WARN] -10 pts -&gt; Require Co-financing / Footfall Guarantee</w:t>
            </w:r>
          </w:p>
        </w:tc>
      </w:tr>
      <w:tr>
        <w:tc>
          <w:tcPr>
            <w:tcW w:type="dxa" w:w="2340"/>
            <w:shd w:fill="F7FBF9"/>
            <w:tcMar>
              <w:top w:w="80" w:type="dxa"/>
              <w:bottom w:w="80" w:type="dxa"/>
              <w:left w:w="100" w:type="dxa"/>
              <w:right w:w="100" w:type="dxa"/>
            </w:tcMar>
          </w:tcPr>
          <w:p>
            <w:r>
              <w:rPr>
                <w:sz w:val="17"/>
              </w:rPr>
              <w:t>Gate 7: Logistics Servicing Radius</w:t>
            </w:r>
          </w:p>
        </w:tc>
        <w:tc>
          <w:tcPr>
            <w:tcW w:type="dxa" w:w="2340"/>
            <w:shd w:fill="F7FBF9"/>
            <w:tcMar>
              <w:top w:w="80" w:type="dxa"/>
              <w:bottom w:w="80" w:type="dxa"/>
              <w:left w:w="100" w:type="dxa"/>
              <w:right w:w="100" w:type="dxa"/>
            </w:tcMar>
          </w:tcPr>
          <w:p>
            <w:r>
              <w:rPr>
                <w:sz w:val="17"/>
              </w:rPr>
              <w:t>Route Dispatch Economics</w:t>
            </w:r>
          </w:p>
        </w:tc>
        <w:tc>
          <w:tcPr>
            <w:tcW w:type="dxa" w:w="2340"/>
            <w:shd w:fill="F7FBF9"/>
            <w:tcMar>
              <w:top w:w="80" w:type="dxa"/>
              <w:bottom w:w="80" w:type="dxa"/>
              <w:left w:w="100" w:type="dxa"/>
              <w:right w:w="100" w:type="dxa"/>
            </w:tcMar>
          </w:tcPr>
          <w:p>
            <w:r>
              <w:rPr>
                <w:sz w:val="17"/>
              </w:rPr>
              <w:t>[WARN] Outpost &gt; 25 km on &lt; 250 b/d (Deadhead)</w:t>
              <w:br/>
              <w:t>[PASS] Route &lt;= 25 km or High-yield &gt;= 250 b/d</w:t>
            </w:r>
          </w:p>
        </w:tc>
        <w:tc>
          <w:tcPr>
            <w:tcW w:type="dxa" w:w="2340"/>
            <w:shd w:fill="F7FBF9"/>
            <w:tcMar>
              <w:top w:w="80" w:type="dxa"/>
              <w:bottom w:w="80" w:type="dxa"/>
              <w:left w:w="100" w:type="dxa"/>
              <w:right w:w="100" w:type="dxa"/>
            </w:tcMar>
          </w:tcPr>
          <w:p>
            <w:r>
              <w:rPr>
                <w:sz w:val="17"/>
              </w:rPr>
              <w:t>[WARN] -10 pts -&gt; Bi-weekly / On-demand Dispatch</w:t>
            </w:r>
          </w:p>
        </w:tc>
      </w:tr>
    </w:tbl>
    <w:p>
      <w:pPr>
        <w:spacing w:after="120"/>
      </w:pPr>
    </w:p>
    <w:p>
      <w:pPr>
        <w:keepNext/>
        <w:spacing w:before="280" w:after="80"/>
      </w:pPr>
      <w:r>
        <w:rPr>
          <w:rFonts w:ascii="Calibri" w:hAnsi="Calibri"/>
          <w:b/>
          <w:color w:val="1E824C"/>
          <w:sz w:val="26"/>
        </w:rPr>
        <w:t>Commercial Mall / Shopping Center Anchor Synergy</w:t>
      </w:r>
    </w:p>
    <w:p>
      <w:r>
        <w:t>Candidate stores located inside commercial shopping centers (shopping_centers &gt;= 1) with sales area &gt;= 1,200 m² automatically receive a +5 point suitability bonus and strategic recognition as a Prime Commercial Park / Mall Anchor, benefiting from shared parking and multi-purpose weekend family foot traffic.</w:t>
      </w:r>
    </w:p>
    <w:p>
      <w:pPr>
        <w:keepNext/>
        <w:spacing w:before="280" w:after="80"/>
      </w:pPr>
      <w:r>
        <w:rPr>
          <w:rFonts w:ascii="Calibri" w:hAnsi="Calibri"/>
          <w:b/>
          <w:color w:val="1E824C"/>
          <w:sz w:val="26"/>
        </w:rPr>
        <w:t>Suitability Score &amp; Decision Verdicts</w:t>
      </w:r>
    </w:p>
    <w:p>
      <w:r>
        <w:t>The composite Suitability Score starts at 100 points, applies gate deductions and bonuses, and is clipped to [5, 99]:</w:t>
      </w:r>
    </w:p>
    <w:tbl>
      <w:tblPr>
        <w:tblW w:type="auto" w:w="0"/>
        <w:jc w:val="center"/>
        <w:tblLook w:firstColumn="1" w:firstRow="1" w:lastColumn="0" w:lastRow="0" w:noHBand="0" w:noVBand="1" w:val="04A0"/>
      </w:tblPr>
      <w:tblGrid>
        <w:gridCol w:w="2340"/>
        <w:gridCol w:w="2340"/>
        <w:gridCol w:w="2340"/>
        <w:gridCol w:w="2340"/>
      </w:tblGrid>
      <w:tr>
        <w:tc>
          <w:tcPr>
            <w:tcW w:type="dxa" w:w="2340"/>
            <w:shd w:fill="104B35"/>
            <w:tcMar>
              <w:top w:w="100" w:type="dxa"/>
              <w:bottom w:w="100" w:type="dxa"/>
              <w:left w:w="120" w:type="dxa"/>
              <w:right w:w="120" w:type="dxa"/>
            </w:tcMar>
          </w:tcPr>
          <w:p>
            <w:r>
              <w:rPr>
                <w:b/>
                <w:color w:val="FFFFFF"/>
                <w:sz w:val="19"/>
              </w:rPr>
              <w:t>Verdict</w:t>
            </w:r>
          </w:p>
        </w:tc>
        <w:tc>
          <w:tcPr>
            <w:tcW w:type="dxa" w:w="2340"/>
            <w:shd w:fill="104B35"/>
            <w:tcMar>
              <w:top w:w="100" w:type="dxa"/>
              <w:bottom w:w="100" w:type="dxa"/>
              <w:left w:w="120" w:type="dxa"/>
              <w:right w:w="120" w:type="dxa"/>
            </w:tcMar>
          </w:tcPr>
          <w:p>
            <w:r>
              <w:rPr>
                <w:b/>
                <w:color w:val="FFFFFF"/>
                <w:sz w:val="19"/>
              </w:rPr>
              <w:t>Suitability Status</w:t>
            </w:r>
          </w:p>
        </w:tc>
        <w:tc>
          <w:tcPr>
            <w:tcW w:type="dxa" w:w="2340"/>
            <w:shd w:fill="104B35"/>
            <w:tcMar>
              <w:top w:w="100" w:type="dxa"/>
              <w:bottom w:w="100" w:type="dxa"/>
              <w:left w:w="120" w:type="dxa"/>
              <w:right w:w="120" w:type="dxa"/>
            </w:tcMar>
          </w:tcPr>
          <w:p>
            <w:r>
              <w:rPr>
                <w:b/>
                <w:color w:val="FFFFFF"/>
                <w:sz w:val="19"/>
              </w:rPr>
              <w:t>Gate Conditions</w:t>
            </w:r>
          </w:p>
        </w:tc>
        <w:tc>
          <w:tcPr>
            <w:tcW w:type="dxa" w:w="2340"/>
            <w:shd w:fill="104B35"/>
            <w:tcMar>
              <w:top w:w="100" w:type="dxa"/>
              <w:bottom w:w="100" w:type="dxa"/>
              <w:left w:w="120" w:type="dxa"/>
              <w:right w:w="120" w:type="dxa"/>
            </w:tcMar>
          </w:tcPr>
          <w:p>
            <w:r>
              <w:rPr>
                <w:b/>
                <w:color w:val="FFFFFF"/>
                <w:sz w:val="19"/>
              </w:rPr>
              <w:t>Actionable Guidance</w:t>
            </w:r>
          </w:p>
        </w:tc>
      </w:tr>
      <w:tr>
        <w:tc>
          <w:tcPr>
            <w:tcW w:type="dxa" w:w="2340"/>
            <w:shd w:fill="F7FBF9"/>
            <w:tcMar>
              <w:top w:w="80" w:type="dxa"/>
              <w:bottom w:w="80" w:type="dxa"/>
              <w:left w:w="100" w:type="dxa"/>
              <w:right w:w="100" w:type="dxa"/>
            </w:tcMar>
          </w:tcPr>
          <w:p>
            <w:r>
              <w:rPr>
                <w:sz w:val="17"/>
              </w:rPr>
              <w:t>GO [PRIORITY APPROVED]</w:t>
            </w:r>
          </w:p>
        </w:tc>
        <w:tc>
          <w:tcPr>
            <w:tcW w:type="dxa" w:w="2340"/>
            <w:shd w:fill="F7FBF9"/>
            <w:tcMar>
              <w:top w:w="80" w:type="dxa"/>
              <w:bottom w:w="80" w:type="dxa"/>
              <w:left w:w="100" w:type="dxa"/>
              <w:right w:w="100" w:type="dxa"/>
            </w:tcMar>
          </w:tcPr>
          <w:p>
            <w:r>
              <w:rPr>
                <w:sz w:val="17"/>
              </w:rPr>
              <w:t>HIGHLY_SUITABLE</w:t>
            </w:r>
          </w:p>
        </w:tc>
        <w:tc>
          <w:tcPr>
            <w:tcW w:type="dxa" w:w="2340"/>
            <w:shd w:fill="F7FBF9"/>
            <w:tcMar>
              <w:top w:w="80" w:type="dxa"/>
              <w:bottom w:w="80" w:type="dxa"/>
              <w:left w:w="100" w:type="dxa"/>
              <w:right w:w="100" w:type="dxa"/>
            </w:tcMar>
          </w:tcPr>
          <w:p>
            <w:r>
              <w:rPr>
                <w:sz w:val="17"/>
              </w:rPr>
              <w:t>All 7 Gates PASS, Score &gt;= 75, Volume &gt;= 500 b/d</w:t>
            </w:r>
          </w:p>
        </w:tc>
        <w:tc>
          <w:tcPr>
            <w:tcW w:type="dxa" w:w="2340"/>
            <w:shd w:fill="F7FBF9"/>
            <w:tcMar>
              <w:top w:w="80" w:type="dxa"/>
              <w:bottom w:w="80" w:type="dxa"/>
              <w:left w:w="100" w:type="dxa"/>
              <w:right w:w="100" w:type="dxa"/>
            </w:tcMar>
          </w:tcPr>
          <w:p>
            <w:r>
              <w:rPr>
                <w:sz w:val="17"/>
              </w:rPr>
              <w:t>Immediate high-priority deployment. Deploy heavy-duty unit (DAINT_G / Ripet_C-front) with twice-weekly servicing.</w:t>
            </w:r>
          </w:p>
        </w:tc>
      </w:tr>
      <w:tr>
        <w:tc>
          <w:tcPr>
            <w:tcW w:type="dxa" w:w="2340"/>
            <w:shd w:fill="FFFFFF"/>
            <w:tcMar>
              <w:top w:w="80" w:type="dxa"/>
              <w:bottom w:w="80" w:type="dxa"/>
              <w:left w:w="100" w:type="dxa"/>
              <w:right w:w="100" w:type="dxa"/>
            </w:tcMar>
          </w:tcPr>
          <w:p>
            <w:r>
              <w:rPr>
                <w:sz w:val="17"/>
              </w:rPr>
              <w:t>GO [STANDARD APPROVED]</w:t>
            </w:r>
          </w:p>
        </w:tc>
        <w:tc>
          <w:tcPr>
            <w:tcW w:type="dxa" w:w="2340"/>
            <w:shd w:fill="FFFFFF"/>
            <w:tcMar>
              <w:top w:w="80" w:type="dxa"/>
              <w:bottom w:w="80" w:type="dxa"/>
              <w:left w:w="100" w:type="dxa"/>
              <w:right w:w="100" w:type="dxa"/>
            </w:tcMar>
          </w:tcPr>
          <w:p>
            <w:r>
              <w:rPr>
                <w:sz w:val="17"/>
              </w:rPr>
              <w:t>SUITABLE</w:t>
            </w:r>
          </w:p>
        </w:tc>
        <w:tc>
          <w:tcPr>
            <w:tcW w:type="dxa" w:w="2340"/>
            <w:shd w:fill="FFFFFF"/>
            <w:tcMar>
              <w:top w:w="80" w:type="dxa"/>
              <w:bottom w:w="80" w:type="dxa"/>
              <w:left w:w="100" w:type="dxa"/>
              <w:right w:w="100" w:type="dxa"/>
            </w:tcMar>
          </w:tcPr>
          <w:p>
            <w:r>
              <w:rPr>
                <w:sz w:val="17"/>
              </w:rPr>
              <w:t>All 7 Gates PASS, Score &gt;= 55</w:t>
            </w:r>
          </w:p>
        </w:tc>
        <w:tc>
          <w:tcPr>
            <w:tcW w:type="dxa" w:w="2340"/>
            <w:shd w:fill="FFFFFF"/>
            <w:tcMar>
              <w:top w:w="80" w:type="dxa"/>
              <w:bottom w:w="80" w:type="dxa"/>
              <w:left w:w="100" w:type="dxa"/>
              <w:right w:w="100" w:type="dxa"/>
            </w:tcMar>
          </w:tcPr>
          <w:p>
            <w:r>
              <w:rPr>
                <w:sz w:val="17"/>
              </w:rPr>
              <w:t>Approved for standard network expansion. Deploy standard multi-material unit (DAINT_B-bis / Ripet_C-front) with weekly servicing.</w:t>
            </w:r>
          </w:p>
        </w:tc>
      </w:tr>
      <w:tr>
        <w:tc>
          <w:tcPr>
            <w:tcW w:type="dxa" w:w="2340"/>
            <w:shd w:fill="F7FBF9"/>
            <w:tcMar>
              <w:top w:w="80" w:type="dxa"/>
              <w:bottom w:w="80" w:type="dxa"/>
              <w:left w:w="100" w:type="dxa"/>
              <w:right w:w="100" w:type="dxa"/>
            </w:tcMar>
          </w:tcPr>
          <w:p>
            <w:r>
              <w:rPr>
                <w:sz w:val="17"/>
              </w:rPr>
              <w:t>CONDITIONAL [REVIEW REQUIRED]</w:t>
            </w:r>
          </w:p>
        </w:tc>
        <w:tc>
          <w:tcPr>
            <w:tcW w:type="dxa" w:w="2340"/>
            <w:shd w:fill="F7FBF9"/>
            <w:tcMar>
              <w:top w:w="80" w:type="dxa"/>
              <w:bottom w:w="80" w:type="dxa"/>
              <w:left w:w="100" w:type="dxa"/>
              <w:right w:w="100" w:type="dxa"/>
            </w:tcMar>
          </w:tcPr>
          <w:p>
            <w:r>
              <w:rPr>
                <w:sz w:val="17"/>
              </w:rPr>
              <w:t>CONDITIONAL_PILOT</w:t>
            </w:r>
          </w:p>
        </w:tc>
        <w:tc>
          <w:tcPr>
            <w:tcW w:type="dxa" w:w="2340"/>
            <w:shd w:fill="F7FBF9"/>
            <w:tcMar>
              <w:top w:w="80" w:type="dxa"/>
              <w:bottom w:w="80" w:type="dxa"/>
              <w:left w:w="100" w:type="dxa"/>
              <w:right w:w="100" w:type="dxa"/>
            </w:tcMar>
          </w:tcPr>
          <w:p>
            <w:r>
              <w:rPr>
                <w:sz w:val="17"/>
              </w:rPr>
              <w:t>Any Gate WARN or Score &lt; 55</w:t>
            </w:r>
          </w:p>
        </w:tc>
        <w:tc>
          <w:tcPr>
            <w:tcW w:type="dxa" w:w="2340"/>
            <w:shd w:fill="F7FBF9"/>
            <w:tcMar>
              <w:top w:w="80" w:type="dxa"/>
              <w:bottom w:w="80" w:type="dxa"/>
              <w:left w:w="100" w:type="dxa"/>
              <w:right w:w="100" w:type="dxa"/>
            </w:tcMar>
          </w:tcPr>
          <w:p>
            <w:r>
              <w:rPr>
                <w:sz w:val="17"/>
              </w:rPr>
              <w:t>Proceed under conditional terms: right-size hardware, require retailer co-financing, or adopt bi-weekly dispatch.</w:t>
            </w:r>
          </w:p>
        </w:tc>
      </w:tr>
      <w:tr>
        <w:tc>
          <w:tcPr>
            <w:tcW w:type="dxa" w:w="2340"/>
            <w:shd w:fill="FFFFFF"/>
            <w:tcMar>
              <w:top w:w="80" w:type="dxa"/>
              <w:bottom w:w="80" w:type="dxa"/>
              <w:left w:w="100" w:type="dxa"/>
              <w:right w:w="100" w:type="dxa"/>
            </w:tcMar>
          </w:tcPr>
          <w:p>
            <w:r>
              <w:rPr>
                <w:sz w:val="17"/>
              </w:rPr>
              <w:t>NO-GO [REJECT]</w:t>
            </w:r>
          </w:p>
        </w:tc>
        <w:tc>
          <w:tcPr>
            <w:tcW w:type="dxa" w:w="2340"/>
            <w:shd w:fill="FFFFFF"/>
            <w:tcMar>
              <w:top w:w="80" w:type="dxa"/>
              <w:bottom w:w="80" w:type="dxa"/>
              <w:left w:w="100" w:type="dxa"/>
              <w:right w:w="100" w:type="dxa"/>
            </w:tcMar>
          </w:tcPr>
          <w:p>
            <w:r>
              <w:rPr>
                <w:sz w:val="17"/>
              </w:rPr>
              <w:t>NOT_SUITABLE</w:t>
            </w:r>
          </w:p>
        </w:tc>
        <w:tc>
          <w:tcPr>
            <w:tcW w:type="dxa" w:w="2340"/>
            <w:shd w:fill="FFFFFF"/>
            <w:tcMar>
              <w:top w:w="80" w:type="dxa"/>
              <w:bottom w:w="80" w:type="dxa"/>
              <w:left w:w="100" w:type="dxa"/>
              <w:right w:w="100" w:type="dxa"/>
            </w:tcMar>
          </w:tcPr>
          <w:p>
            <w:r>
              <w:rPr>
                <w:sz w:val="17"/>
              </w:rPr>
              <w:t>Any Gate FAIL</w:t>
            </w:r>
          </w:p>
        </w:tc>
        <w:tc>
          <w:tcPr>
            <w:tcW w:type="dxa" w:w="2340"/>
            <w:shd w:fill="FFFFFF"/>
            <w:tcMar>
              <w:top w:w="80" w:type="dxa"/>
              <w:bottom w:w="80" w:type="dxa"/>
              <w:left w:w="100" w:type="dxa"/>
              <w:right w:w="100" w:type="dxa"/>
            </w:tcMar>
          </w:tcPr>
          <w:p>
            <w:r>
              <w:rPr>
                <w:sz w:val="17"/>
              </w:rPr>
              <w:t>DO NOT install. Direct shoppers to existing nearby machines or reject due to sub-breakeven volume or footprint deficits.</w:t>
            </w:r>
          </w:p>
        </w:tc>
      </w:tr>
    </w:tbl>
    <w:p>
      <w:pPr>
        <w:spacing w:after="120"/>
      </w:pPr>
    </w:p>
    <w:p>
      <w:pPr>
        <w:keepNext/>
        <w:spacing w:before="360" w:after="120"/>
      </w:pPr>
      <w:r>
        <w:rPr>
          <w:rFonts w:ascii="Calibri" w:hAnsi="Calibri"/>
          <w:b/>
          <w:color w:val="104B35"/>
          <w:sz w:val="32"/>
        </w:rPr>
        <w:t>6. Commercial Investment Tier Recommendations</w:t>
      </w:r>
    </w:p>
    <w:p>
      <w:r>
        <w:t>Candidate locations receive an investment portfolio ranking based on the Location Potential Score (0–100 percentile):</w:t>
      </w:r>
    </w:p>
    <w:p>
      <w:pPr>
        <w:pStyle w:val="ListBullet"/>
        <w:spacing w:after="60" w:line="276" w:lineRule="auto"/>
      </w:pPr>
      <w:r>
        <w:rPr>
          <w:b/>
          <w:color w:val="212529"/>
        </w:rPr>
        <w:t xml:space="preserve">Tier 1 - Flagship Anchor Hub (Score &gt;= 80): </w:t>
      </w:r>
      <w:r>
        <w:rPr>
          <w:color w:val="212529"/>
        </w:rPr>
        <w:t>Top nationwide volume generator. Decision: HIGH PRIORITY (PROCEED). Logistics: Twice-weekly servicing.</w:t>
      </w:r>
    </w:p>
    <w:p>
      <w:pPr>
        <w:pStyle w:val="ListBullet"/>
        <w:spacing w:after="60" w:line="276" w:lineRule="auto"/>
      </w:pPr>
      <w:r>
        <w:rPr>
          <w:b/>
          <w:color w:val="212529"/>
        </w:rPr>
        <w:t xml:space="preserve">Tier 2 - Viable Standard Expansion (Score 55–79): </w:t>
      </w:r>
      <w:r>
        <w:rPr>
          <w:color w:val="212529"/>
        </w:rPr>
        <w:t>Healthy payback profile above national median. Decision: COMMERCIALLY VIABLE (PROCEED). Logistics: Weekly scheduled servicing.</w:t>
      </w:r>
    </w:p>
    <w:p>
      <w:pPr>
        <w:pStyle w:val="ListBullet"/>
        <w:spacing w:after="60" w:line="276" w:lineRule="auto"/>
      </w:pPr>
      <w:r>
        <w:rPr>
          <w:b/>
          <w:color w:val="212529"/>
        </w:rPr>
        <w:t xml:space="preserve">Tier 3 - Secondary Candidate (Score 35–54): </w:t>
      </w:r>
      <w:r>
        <w:rPr>
          <w:color w:val="212529"/>
        </w:rPr>
        <w:t>Modest volume candidate. Decision: CONDITIONAL (SELECTIVE APPROVAL). Logistics: Bi-weekly or co-financed servicing.</w:t>
      </w:r>
    </w:p>
    <w:p>
      <w:pPr>
        <w:pStyle w:val="ListBullet"/>
        <w:spacing w:after="60" w:line="276" w:lineRule="auto"/>
      </w:pPr>
      <w:r>
        <w:rPr>
          <w:b/>
          <w:color w:val="212529"/>
        </w:rPr>
        <w:t xml:space="preserve">Tier 4 - Cannibalization / High Risk: </w:t>
      </w:r>
      <w:r>
        <w:rPr>
          <w:color w:val="212529"/>
        </w:rPr>
        <w:t>Triggered when network_position == CANNIBALIZATION_ALERT. Decision: HIGH RISK (AVOID DUPLICATION).</w:t>
      </w:r>
    </w:p>
    <w:p>
      <w:pPr>
        <w:pStyle w:val="ListBullet"/>
        <w:spacing w:after="60" w:line="276" w:lineRule="auto"/>
      </w:pPr>
      <w:r>
        <w:rPr>
          <w:b/>
          <w:color w:val="212529"/>
        </w:rPr>
        <w:t xml:space="preserve">Tier 5 - Not Suitable / Unviable: </w:t>
      </w:r>
      <w:r>
        <w:rPr>
          <w:color w:val="212529"/>
        </w:rPr>
        <w:t>Triggered when suitability_status == NOT_SUITABLE. Decision: NOT RECOMMENDED (DO NOT INSTALL).</w:t>
      </w:r>
    </w:p>
    <w:p>
      <w:pPr>
        <w:keepNext/>
        <w:spacing w:before="360" w:after="120"/>
      </w:pPr>
      <w:r>
        <w:rPr>
          <w:rFonts w:ascii="Calibri" w:hAnsi="Calibri"/>
          <w:b/>
          <w:color w:val="104B35"/>
          <w:sz w:val="32"/>
        </w:rPr>
        <w:t>7. Operational &amp; Predictive Diagnostics Engine</w:t>
      </w:r>
    </w:p>
    <w:p>
      <w:pPr>
        <w:keepNext/>
        <w:spacing w:before="280" w:after="80"/>
      </w:pPr>
      <w:r>
        <w:rPr>
          <w:rFonts w:ascii="Calibri" w:hAnsi="Calibri"/>
          <w:b/>
          <w:color w:val="1E824C"/>
          <w:sz w:val="26"/>
        </w:rPr>
        <w:t>Drivers of Constrained Collection (&lt; 450 b/day)</w:t>
      </w:r>
    </w:p>
    <w:p>
      <w:pPr>
        <w:pStyle w:val="ListBullet"/>
        <w:spacing w:after="60" w:line="276" w:lineRule="auto"/>
      </w:pPr>
      <w:r>
        <w:rPr>
          <w:b/>
          <w:color w:val="212529"/>
        </w:rPr>
        <w:t xml:space="preserve">Store Footprint: </w:t>
      </w:r>
      <w:r>
        <w:rPr>
          <w:color w:val="212529"/>
        </w:rPr>
        <w:t>Small convenience format (&lt; 600 m² or &lt;= 3 checkouts) physically limits customer throughput.</w:t>
      </w:r>
    </w:p>
    <w:p>
      <w:pPr>
        <w:pStyle w:val="ListBullet"/>
        <w:spacing w:after="60" w:line="276" w:lineRule="auto"/>
      </w:pPr>
      <w:r>
        <w:rPr>
          <w:b/>
          <w:color w:val="212529"/>
        </w:rPr>
        <w:t xml:space="preserve">Corridor Competition: </w:t>
      </w:r>
      <w:r>
        <w:rPr>
          <w:color w:val="212529"/>
        </w:rPr>
        <w:t>High food store fragmentation (&gt;= 15 competitors) divides shopper traffic.</w:t>
      </w:r>
    </w:p>
    <w:p>
      <w:pPr>
        <w:pStyle w:val="ListBullet"/>
        <w:spacing w:after="60" w:line="276" w:lineRule="auto"/>
      </w:pPr>
      <w:r>
        <w:rPr>
          <w:b/>
          <w:color w:val="212529"/>
        </w:rPr>
        <w:t xml:space="preserve">Network Proximity: </w:t>
      </w:r>
      <w:r>
        <w:rPr>
          <w:color w:val="212529"/>
        </w:rPr>
        <w:t>Nearby machines within &lt; 1.5 km split recycling customers.</w:t>
      </w:r>
    </w:p>
    <w:p>
      <w:pPr>
        <w:pStyle w:val="ListBullet"/>
        <w:spacing w:after="60" w:line="276" w:lineRule="auto"/>
      </w:pPr>
      <w:r>
        <w:rPr>
          <w:b/>
          <w:color w:val="212529"/>
        </w:rPr>
        <w:t xml:space="preserve">Demographics: </w:t>
      </w:r>
      <w:r>
        <w:rPr>
          <w:color w:val="212529"/>
        </w:rPr>
        <w:t>Small municipality (&lt; 15,000 inh) or sparse density (&lt; 250 inh/km²).</w:t>
      </w:r>
    </w:p>
    <w:p>
      <w:pPr>
        <w:pStyle w:val="ListBullet"/>
        <w:spacing w:after="60" w:line="276" w:lineRule="auto"/>
      </w:pPr>
      <w:r>
        <w:rPr>
          <w:b/>
          <w:color w:val="212529"/>
        </w:rPr>
        <w:t xml:space="preserve">Loyalty Gap: </w:t>
      </w:r>
      <w:r>
        <w:rPr>
          <w:color w:val="212529"/>
        </w:rPr>
        <w:t>Independent banner lacks automated chain loyalty voucher marketing.</w:t>
      </w:r>
    </w:p>
    <w:p>
      <w:pPr>
        <w:pStyle w:val="ListBullet"/>
        <w:spacing w:after="60" w:line="276" w:lineRule="auto"/>
      </w:pPr>
      <w:r>
        <w:rPr>
          <w:b/>
          <w:color w:val="212529"/>
        </w:rPr>
        <w:t xml:space="preserve">Seasonal Baseline: </w:t>
      </w:r>
      <w:r>
        <w:rPr>
          <w:color w:val="212529"/>
        </w:rPr>
        <w:t>Winter/Autumn nationwide beverage sales contraction (-15% to -25%).</w:t>
      </w:r>
    </w:p>
    <w:p>
      <w:pPr>
        <w:keepNext/>
        <w:spacing w:before="280" w:after="80"/>
      </w:pPr>
      <w:r>
        <w:rPr>
          <w:rFonts w:ascii="Calibri" w:hAnsi="Calibri"/>
          <w:b/>
          <w:color w:val="1E824C"/>
          <w:sz w:val="26"/>
        </w:rPr>
        <w:t>Predictive Accuracy Variance Factors (Why Actuals Differ from Predictions)</w:t>
      </w:r>
    </w:p>
    <w:p>
      <w:pPr>
        <w:pStyle w:val="ListBullet"/>
        <w:spacing w:after="60" w:line="276" w:lineRule="auto"/>
      </w:pPr>
      <w:r>
        <w:rPr>
          <w:b/>
          <w:color w:val="212529"/>
        </w:rPr>
        <w:t xml:space="preserve">Alpine / Coastal / Commuter Tourist Corridor: </w:t>
      </w:r>
      <w:r>
        <w:rPr>
          <w:color w:val="212529"/>
        </w:rPr>
        <w:t>Supermarkets in small resident municipalities situated on state highways, ski routes, or beach resort corridors. Seasonal tourist traffic can swell actual volumes by +30% to +80% above permanent resident projections.</w:t>
      </w:r>
    </w:p>
    <w:p>
      <w:pPr>
        <w:pStyle w:val="ListBullet"/>
        <w:spacing w:after="60" w:line="276" w:lineRule="auto"/>
      </w:pPr>
      <w:r>
        <w:rPr>
          <w:b/>
          <w:color w:val="212529"/>
        </w:rPr>
        <w:t xml:space="preserve">Regional Grocery Monopoly Hub: </w:t>
      </w:r>
      <w:r>
        <w:rPr>
          <w:color w:val="212529"/>
        </w:rPr>
        <w:t>When trade area grocery stores &lt;= 2, the supermarket functions as the primary regional destination magnet for multiple surrounding villages, concentrating traffic far beyond municipal census figures.</w:t>
      </w:r>
    </w:p>
    <w:p>
      <w:pPr>
        <w:keepNext/>
        <w:spacing w:before="360" w:after="120"/>
      </w:pPr>
      <w:r>
        <w:rPr>
          <w:rFonts w:ascii="Calibri" w:hAnsi="Calibri"/>
          <w:b/>
          <w:color w:val="104B35"/>
          <w:sz w:val="32"/>
        </w:rPr>
        <w:t>8. Python API &amp; Programmatic Execution Guide</w:t>
      </w:r>
    </w:p>
    <w:p>
      <w:r>
        <w:t>Prospective location evaluation can be executed via the Python API, interactive CLI, or automated test suite:</w:t>
      </w:r>
    </w:p>
    <w:p>
      <w:pPr>
        <w:keepNext/>
        <w:spacing w:before="280" w:after="80"/>
      </w:pPr>
      <w:r>
        <w:rPr>
          <w:rFonts w:ascii="Calibri" w:hAnsi="Calibri"/>
          <w:b/>
          <w:color w:val="1E824C"/>
          <w:sz w:val="26"/>
        </w:rPr>
        <w:t>Python API Usage</w:t>
      </w:r>
    </w:p>
    <w:p>
      <w:pPr>
        <w:spacing w:before="80" w:after="80"/>
      </w:pPr>
      <w:r>
        <w:rPr>
          <w:rFonts w:ascii="Consolas" w:hAnsi="Consolas"/>
          <w:color w:val="141414"/>
          <w:sz w:val="18"/>
        </w:rPr>
        <w:t>from src.model.predict import RVMNewLocationPredictor</w:t>
        <w:br/>
        <w:br/>
        <w:t>predictor = RVMNewLocationPredictor()</w:t>
        <w:br/>
        <w:t>res = predictor.predict_new_location(</w:t>
        <w:br/>
        <w:t xml:space="preserve">    store_name='ESSELUNGA',</w:t>
        <w:br/>
        <w:t xml:space="preserve">    address='Via Portanuova 1',</w:t>
        <w:br/>
        <w:t xml:space="preserve">    cap='51100',</w:t>
        <w:br/>
        <w:t xml:space="preserve">    machine_type='DAINT_A-bis',</w:t>
        <w:br/>
        <w:t xml:space="preserve">    sales_area_sqm=2990.0,</w:t>
        <w:br/>
        <w:t xml:space="preserve">    cash_registers=33.0</w:t>
        <w:br/>
        <w:t>)</w:t>
        <w:br/>
        <w:br/>
        <w:t>print('Realized Daily Bottles:', res['realized_forecast']['realized_daily_bottles'])</w:t>
        <w:br/>
        <w:t>print('Suitability Verdict:   ', res['location_suitability']['verdict'])</w:t>
        <w:br/>
        <w:t>print('Recommended Action:    ', res['location_suitability']['recommended_action'])</w:t>
        <w:br/>
      </w:r>
    </w:p>
    <w:p>
      <w:pPr>
        <w:keepNext/>
        <w:spacing w:before="280" w:after="80"/>
      </w:pPr>
      <w:r>
        <w:rPr>
          <w:rFonts w:ascii="Calibri" w:hAnsi="Calibri"/>
          <w:b/>
          <w:color w:val="1E824C"/>
          <w:sz w:val="26"/>
        </w:rPr>
        <w:t>CLI Execution</w:t>
      </w:r>
    </w:p>
    <w:p>
      <w:r>
        <w:t>Run the interactive command-line interface in PowerShell or Bash:</w:t>
        <w:br/>
        <w:t>python -m src.model.predict</w:t>
      </w:r>
    </w:p>
    <w:p>
      <w:pPr>
        <w:keepNext/>
        <w:spacing w:before="280" w:after="80"/>
      </w:pPr>
      <w:r>
        <w:rPr>
          <w:rFonts w:ascii="Calibri" w:hAnsi="Calibri"/>
          <w:b/>
          <w:color w:val="1E824C"/>
          <w:sz w:val="26"/>
        </w:rPr>
        <w:t>Automated Test Suite Verification</w:t>
      </w:r>
    </w:p>
    <w:p>
      <w:r>
        <w:t>Run the complete 11-test suitability suite:</w:t>
        <w:br/>
        <w:t>python -m unittest tests/test_suitability_engine.py</w:t>
      </w:r>
    </w:p>
    <w:tbl>
      <w:tblPr>
        <w:tblW w:type="auto" w:w="0"/>
        <w:jc w:val="center"/>
        <w:tblLook w:firstColumn="1" w:firstRow="1" w:lastColumn="0" w:lastRow="0" w:noHBand="0" w:noVBand="1" w:val="04A0"/>
      </w:tblPr>
      <w:tblGrid>
        <w:gridCol w:w="9360"/>
      </w:tblGrid>
      <w:tr>
        <w:tc>
          <w:tcPr>
            <w:tcW w:type="dxa" w:w="9360"/>
            <w:shd w:fill="F0F9F5"/>
            <w:tcMar>
              <w:top w:w="140" w:type="dxa"/>
              <w:bottom w:w="140" w:type="dxa"/>
              <w:left w:w="200" w:type="dxa"/>
              <w:right w:w="200" w:type="dxa"/>
            </w:tcMar>
          </w:tcPr>
          <w:p>
            <w:pPr>
              <w:spacing w:after="0"/>
            </w:pPr>
            <w:r>
              <w:rPr>
                <w:b/>
                <w:color w:val="104B35"/>
              </w:rPr>
              <w:t xml:space="preserve">[SYSTEM INTEGRITY VERIFIED] </w:t>
            </w:r>
            <w:r>
              <w:rPr>
                <w:color w:val="212529"/>
              </w:rPr>
              <w:t>All 11 unit tests in test_suitability_engine.py pass with 100% success rate, validating all 7 clearance gates, hardware sizing match, loyalty alliance integration, logistics feasibility, and mall anchor synergy.</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