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0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War Impact Observatory</w:t>
      </w:r>
    </w:p>
    <w:p>
      <w:pPr>
        <w:spacing w:after="60" w:before="0"/>
      </w:pPr>
      <w:r>
        <w:rPr>
          <w:rFonts w:ascii="Arial" w:cs="Arial" w:eastAsia="Arial" w:hAnsi="Arial"/>
          <w:color w:val="2E6DB4"/>
          <w:sz w:val="36"/>
          <w:szCs w:val="36"/>
        </w:rPr>
        <w:t xml:space="preserve">Methodology &amp; Parameter Calculation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55"/>
          <w:sz w:val="24"/>
          <w:szCs w:val="24"/>
        </w:rPr>
        <w:t xml:space="preserve">How economic impact metrics are constructed, sourced, and computed</w:t>
      </w:r>
    </w:p>
    <w:p>
      <w:pPr>
        <w:spacing w:after="500" w:before="40"/>
      </w:pPr>
      <w:r>
        <w:rPr>
          <w:rFonts w:ascii="Arial" w:cs="Arial" w:eastAsia="Arial" w:hAnsi="Arial"/>
          <w:i/>
          <w:iCs/>
          <w:color w:val="888899"/>
          <w:sz w:val="20"/>
          <w:szCs w:val="20"/>
        </w:rPr>
        <w:t xml:space="preserve">Version 1.0  —  April 2026  —  Open for peer review and critique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color w:val="222233"/>
                <w:sz w:val="22"/>
                <w:szCs w:val="22"/>
              </w:rPr>
              <w:t xml:space="preserve">Sumit Bhosale</w:t>
            </w:r>
          </w:p>
          <w:p>
            <w:r>
              <w:rPr>
                <w:rFonts w:ascii="Arial" w:cs="Arial" w:eastAsia="Arial" w:hAnsi="Arial"/>
                <w:color w:val="2E6DB4"/>
                <w:sz w:val="20"/>
                <w:szCs w:val="20"/>
              </w:rPr>
              <w:t xml:space="preserve">sumitb1808@gmail.com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620A"/>
                <w:sz w:val="20"/>
                <w:szCs w:val="20"/>
              </w:rPr>
              <w:t xml:space="preserve">Intended audience</w:t>
            </w:r>
          </w:p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Economists, journalists, policy researchers, and peer reviewers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1. Scope and Objectives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document explains every quantitative metric published by the War Impact Observatory. For each parameter, we describe: the data source, the calculation formula, the key assumptions, and the known limitations. This document is intended to enable expert critique, academic citation, and transparent public debate.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Observatory tracks economic spillover effects of the 2026 US-Israel-Iran conflict on 29 economies. It does not attempt to value human costs, political outcomes, or military dimensions. All figures are best-effort estimates with inherent uncertainty. Exact values should be treated as indicative, not definitive.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1.1  Conflict Timeline Assumption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All metrics use 28 February 2026 as the conflict start date (day of initial US-Israel joint air operations over Iranian territory, per open-source reporting). Pre-conflict baseline prices are calibrated to the 30-day average ending 27 February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Conflict start 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28 February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Brent crude baseline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USD 73.00/bbl (30-day average to 27 Feb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EUR/USD baseline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1.085 (30-day average to 27 Feb 2026)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Base inflation 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3.0% (global average pre-conflict, used in ppErosion formula)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2. Fuel Price Impact (fuelUp)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fuelUp represents the estimated percentage increase in retail fuel prices in a given country since conflict start. It is updated daily from live oil price data.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2.1  Formula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fuelUp = oil_price_change_pct × passThrough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oil_price_change_pct = (current_brent − 73.0) / 73.0 × 100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2.2  Pass-Through Coefficient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pass-through coefficient captures how much of an oil price change reaches retail consumers in a given country. It depends on: subsidy regimes, refining capacity, energy taxes, and market structure. Coefficients are calibrated using the observed retail fuel price changes at the time of initial dashboard construction (April 2026, Brent ~$126/bbl, implying oil_change_pct ≈ 72.6%).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passThrough = observed_fuelUp / 72.6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Example calibration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fuelUp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passThrough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Lebanon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90%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1.24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Full pass-through + import premium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Turkey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0.55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High dependency, limited subsidy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India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0.48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Partial subsidy buffer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Germany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32%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0.44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Market-priced, energy taxes fixed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0.14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Domestic producer, heavy subsidy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Russia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0.11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Net exporter, domestically priced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2.3  Limitations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Pass-through coefficients are static and calibrated at a single point in time. In reality, governments adjust subsidies dynamically; Turkey, India, and Indonesia have all altered fuel pricing policies since conflict start.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Retail fuel prices include distribution, taxes, and margins that are not purely oil-linked. The model may overestimate or underestimate by 5–15 percentage points for individual countries.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Oil price data has a 1-day lag from FRED. Weekends and US holidays may introduce short gaps filled by the previous trading day’s value.</w:t>
      </w:r>
    </w:p>
    <w:p>
      <w:pPr>
        <w:pBdr>
          <w:left w:val="single" w:color="2E6DB4" w:sz="12" w:space="1"/>
        </w:pBdr>
        <w:spacing w:after="120" w:before="120"/>
        <w:ind w:left="360"/>
      </w:pPr>
      <w:r>
        <w:rPr>
          <w:rFonts w:ascii="Arial" w:cs="Arial" w:eastAsia="Arial" w:hAnsi="Arial"/>
          <w:color w:val="2E6DB4"/>
          <w:sz w:val="20"/>
          <w:szCs w:val="20"/>
        </w:rPr>
        <w:t xml:space="preserve">ℹ️  Suggested improvement: integrate country-specific retail fuel price indices from IEA or national statistics agencies for direct measurement.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3. Currency Change (currencyChg)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currencyChg represents the percentage change in a country’s currency against the US Dollar since the conflict start. A negative value means the local currency weakened (more local units required to buy one USD).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3.1  Formula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currencyChg = −(current_local_per_USD − baseline_local_per_USD) / baseline_local_per_USD × 100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Exchange rates are sourced from the ECB daily XML feed (eurofxref-daily.xml), which provides rates against EUR. USD rates are derived as follows: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current_local_per_USD = EUR_local_rate / EUR_USD_rate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baseline_local_per_USD = baseline_EUR_local / baseline_EUR_USD  (1.085)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3.2  Currency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Auto-updated 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USD, EUR, CNY, INR, JPY, GBP, BRL, CAD, AUD, KRW, MXN, IDR, TRY, SAR, ARS, ZAR, RUB, ILS, IQD, QAR, KWD, AED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ECB publishes these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Static baseline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IRR (Iran), LBP (Lebanon), SYP (Syria), YER (Yemen)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ECB does not publish; values reflect analyst estimates at conflict start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3.3  Limitations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ECB rates are official reference rates, not market mid-rates. They may differ from rates available to households and businesses by 0.5–2%.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Iran, Lebanon, Syria, and Yemen have parallel/black market exchange rates that diverge sharply from official rates. currencyChg for these countries significantly understates real purchasing power loss.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Capital controls in Turkey, Argentina, and Russia mean official rates do not fully reflect economic reality for most citizens.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4. Household Cost (householdCost)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householdCost is the estimated extra annual household expenditure in USD attributable to the conflict. It captures the additional cost of food and fuel — the two categories most directly impacted by oil price shocks.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4.1  Formula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householdCost = avgIncomePPP × (ffShare / 100) × weightedPriceIncrease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weightedPriceIncrease = (0.6 × foodUp + 0.4 × fuelUp) / 100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avgIncomePPP = annual per-capita income in USD, PPP-adjusted (World Bank WDI)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ffShare = pre-conflict food and fuel share of household budget (World Bank data, 17–65%)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foodUp = food price increase % (research-based; updated monthly)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fuelUp = fuel price increase % (auto-computed daily from oil price)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0.6 / 0.4 = food/fuel weights within the food+fuel budget share (global average)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4.2  Worked Example — India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avgIncomePPP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$9,800/yr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World Bank WDI 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ffShare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48%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World Bank household surveys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foodUp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18%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FAO/IMF estimate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fuelUp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35%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Computed from Brent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weightedPriceIncrease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(0.6×18 + 0.4×35)/100 = 0.248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householdCost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$9,800 × 0.48 × 0.248 = $1,167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Formula result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4.3  Limitations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avgIncomePPP is per-capita GDP, not median household disposable income. It overstates the income of most households, particularly in high-inequality countries (India, Brazil, South Africa).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The 0.6/0.4 food/fuel split is a global average. Actual household-level splits vary widely by income decile. Low-income households typically spend more on fuel proportionally.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The formula assumes 100% price pass-through to household expenditure. In practice, households substitute cheaper alternatives, reducing the actual impact.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Costs are denominated in USD using PPP. In local currency terms, depreciation amplifies the real burden — this is partially captured by currencyChg but not explicitly in householdCost.</w:t>
      </w:r>
    </w:p>
    <w:p>
      <w:pPr>
        <w:pBdr>
          <w:left w:val="single" w:color="2E6DB4" w:sz="12" w:space="1"/>
        </w:pBdr>
        <w:spacing w:after="120" w:before="120"/>
        <w:ind w:left="360"/>
      </w:pPr>
      <w:r>
        <w:rPr>
          <w:rFonts w:ascii="Arial" w:cs="Arial" w:eastAsia="Arial" w:hAnsi="Arial"/>
          <w:color w:val="2E6DB4"/>
          <w:sz w:val="20"/>
          <w:szCs w:val="20"/>
        </w:rPr>
        <w:t xml:space="preserve">ℹ️  The householdCost figure is best interpreted as a relative comparison across countries, not as a precise absolute figure for any individual household.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5. Inflation Impact (inflImpact)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inflImpact represents the additional percentage points of inflation attributable to the conflict, over and above pre-conflict baseline inflation. It is not the total current inflation rate; it is the war-specific increment.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5.1  Construction Method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inflImpact is not auto-computed by the daily pipeline. It is a research-based estimate updated monthly from the following sources, applied in order of data quality: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IMF World Economic Outlook (WEO) API — provides current-year CPI forecasts revised since conflict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OECD Economic Outlook — inflation nowcasts for OECD member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National central bank statements and IMF Article IV consultation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Oxford Economics conflict scenario analysis (where available)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war-attributed increment is calculated as: current IMF forecast minus pre-conflict IMF forecast (January 2026 WEO baseline). This isolates the conflict effect from structural inflation.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5.2  Range of values in the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18.0%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Severe sanctions escalation, currency collapse, supply chain destruction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Syria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15.0%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Pre-existing hyperinflation compounded by renewed conflict 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Lebanon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12.0%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Dollarised economy with LBP collapse; import costs surging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Turkey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3.2%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Already high inflation; oil dependency amplifies cost-push pressure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Russia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0.6%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Oil exporter; benefits from higher prices; limited incremental inflation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Canada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0.7%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Net oil exporter; modest food price transmission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5.3  Limitations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inflImpact values are scenario estimates with high uncertainty. IMF nowcasts have historically been revised by ±2–3 percentage points within a quarter for conflict-affected economies.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For Iran, Lebanon, Syria, and Yemen, official CPI statistics are unreliable or absent. Values are analyst estimates with wide uncertainty bands.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6. GDP Impact (gdpHit)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gdpHit represents the estimated change in annual GDP growth rate attributable to the conflict, expressed in percentage points. A value of –1.8 means the country’s GDP growth is estimated to be 1.8pp lower than it would have been without the conflict.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6.1 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Oxford Economics: Global Economic Impact of the Iran Crisis (March 2026)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IMF Revised World Economic Outlook — April 2026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World Bank Macro Poverty Outlook (conflict scenarios)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Goldman Sachs Global Investment Research (selected economies)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Values represent the midpoint of cited ranges. Where ranges diverge significantly across sources, a conservative (less negative) estimate is used.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6.2  Notable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gdpHit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driver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−12.5%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Sanctions + conflict destruction + oil export collapse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Iraq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−9.0%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Oil export disruption, security deterioration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Israel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−4.2%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Military expenditure, tourism collapse, tech sector disruption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Saudi Arabia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−3.5%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Oil price volatility creates budget uncertainty despite revenue gains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Russia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+0.8%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Oil exporter: higher revenues partially offset sanctions pressure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Canada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+0.3%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Net oil exporter: terms-of-trade gain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6.3  Limitations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GDP impact estimates for conflict participants (Iran, Iraq, Yemen) are particularly uncertain. GDP measurement breaks down under active conflict conditions.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Values do not include second-order financial contagion effects (bank exposure, derivatives, trade credit tightening) which could amplify impacts for heavily integrated economies.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All GDP impacts assume current conflict intensity continues through end-2026. A ceasefire would substantially change the trajectory.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7. Buying Power Loss (ppErosion)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ppErosion measures the percentage reduction in a household’s real purchasing power caused by war-driven inflation, relative to a 3% pre-conflict baseline inflation environment.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7.1  Formula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ppErosion = inflImpact / (100 + 3 + inflImpact) × 100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is derived from the real value of a money unit: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real_value = 1 / (1 + (baselineInflation + inflImpact) / 100)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ppErosion = (1 − real_value_with_war / real_value_without_war) × 100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formula approximates the compound erosion with a 3% baseline. At low inflation values the approximation is accurate to within 0.1pp.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7.2 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India (inflImpact = 2.1%)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ppErosion = 2.1 / (103 + 2.1) × 100 = 2.0%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Turkey (inflImpact = 3.2%)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ppErosion = 3.2 / (103 + 3.2) × 100 = 3.0%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Iran (inflImpact = 18.0%)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ppErosion = 18.0 / (103 + 18.0) × 100 = 14.9%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7.3  Limitations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ppErosion uses a single global 3% baseline. Pre-conflict inflation ranged from near-zero (Japan) to over 60% (Argentina). Using a country-specific baseline would produce more accurate results.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For Argentina, the 3% baseline grossly understates pre-existing structural inflation. ppErosion is likely understated for this country.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8. Budget Squeeze (ffShift)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ffShift measures the increase in percentage points of household income that must be spent on food and fuel after the conflict, compared to before. A value of +5pp means households must allocate 5 additional percentage points of their income to cover food and fuel costs.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8.1  Formula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ffSharePost = ffShare × (1 + ffPriceIncrease) / (1 + overallInflation)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ffPriceIncrease = (0.6 × foodUp + 0.4 × fuelUp) / 100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overallInflation = inflImpact / 100</w:t>
      </w:r>
    </w:p>
    <w:p>
      <w:pPr>
        <w:shd w:fill="EEF3FA" w:val="clear"/>
        <w:spacing w:after="120" w:before="120"/>
        <w:ind w:left="720"/>
      </w:pPr>
      <w:r>
        <w:rPr>
          <w:rFonts w:ascii="Courier New" w:cs="Courier New" w:eastAsia="Courier New" w:hAnsi="Courier New"/>
          <w:b/>
          <w:bCs/>
          <w:color w:val="1A3A6B"/>
          <w:sz w:val="22"/>
          <w:szCs w:val="22"/>
        </w:rPr>
        <w:t xml:space="preserve">ffShift = ffSharePost − ffShare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The logic: food and fuel prices rise faster than overall inflation (since they are the primary channels of oil shock transmission). This means they claim a larger share of the household budget even after adjusting for general price rises.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8.2  Worked Example — Yemen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ffShare (pre-conflict)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62% of household budget on food+fuel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foodUp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50% increase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fuelUp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80% increase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ffPriceIncrease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0.6×50 + 0.4×80 = 62% weighted increase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overallInflation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ffSharePost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62% × 1.62 / 1.10 = 91.3%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ffShift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+29.3 percentage points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means Yemen households must now spend over 91% of their income on food and fuel alone — leaving virtually nothing for housing, health, or education.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8.3  Limitations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ffShare data comes from World Bank household survey averages. These are typically 2–3 years old and do not reflect pre-conflict distributions precisely.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The 0.6/0.4 food/fuel split within the ffShare is a global average. For cold-climate countries (Russia, Canada), fuel has a larger share; for tropical low-income countries, food dominates.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9. Severity Classification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Each country is assigned a severity level: critical, high, moderate, or low. This is a composite qualitative classification, not a single-formula output.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9.1  Classification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gdpHit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&gt; 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&lt; −3%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&gt; 35%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Conflict participant, or severe currency collapse (&gt; 10%)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1.5–3%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−1.0 to −3%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25–35%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Major oil importer with limited fiscal space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moderate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0.8–1.5%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−0.5 to −1.0%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15–25%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Exposed but with buffers (subsidies, reserves, diversification)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&lt; 0.8%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&gt; −0.5% or positive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&lt; 15%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Net exporter, or well-insulated (low oil dependency, large buffers)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Classification is applied manually using expert judgment when metrics fall near boundaries. Countries are not algorithmically classified solely on the threshold values above; context is considered.</w:t>
      </w:r>
    </w:p>
    <w:p>
      <w:pPr>
        <w:pBdr>
          <w:left w:val="single" w:color="B8620A" w:sz="12" w:space="1"/>
        </w:pBdr>
        <w:spacing w:after="120" w:before="120"/>
        <w:ind w:left="360"/>
      </w:pPr>
      <w:r>
        <w:rPr>
          <w:rFonts w:ascii="Arial" w:cs="Arial" w:eastAsia="Arial" w:hAnsi="Arial"/>
          <w:color w:val="B8620A"/>
          <w:sz w:val="20"/>
          <w:szCs w:val="20"/>
        </w:rPr>
        <w:t xml:space="preserve">⚠️  Severity classification is intentionally coarse. It is designed for quick visual communication, not for policy ranking. Countries at the boundary between tiers should be interpreted with caution.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10. Data Sources and Citations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0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FRED (St. Louis Fed)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Brent crude oil price (DCOILBRENTEU)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Daily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Free API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ECB eurofxref-daily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Exchange rates (20+ currencies vs EUR)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Daily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Free, no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EIA Open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Brent crude (fallback)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Daily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Free API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World Bank WDI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avgIncomePPP, ffShare, oilDep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Annual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Free, public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IMF WEO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inflImpact baseline, GDP forecasts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Semi-annual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Free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FAO Food Price 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foodUp calibration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Monthly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Free, public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Oxford Economics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gdpHit conflict scenarios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Ad hoc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Commercial; cited from public reports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BP Statistical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oilDep (oil import dependency)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Annual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33"/>
                <w:sz w:val="20"/>
                <w:szCs w:val="20"/>
              </w:rPr>
              <w:t xml:space="preserve">Free, public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11. Invitation for Expert Review</w:t>
      </w: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This project is explicitly designed to be critiqued, improved, and debated. The following are open questions where expert input would improve model quality: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Are pass-through coefficients calibrated correctly for subsidy regimes in India, Indonesia, and Turkey, given recent policy changes?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Should household cost modelling use median income rather than per-capita GDP, and if so, what is the best available cross-country source?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How should GDP impact be modelled for economies (Iran, Yemen) where official statistics are unreliable?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Should uncertainty bands be published alongside point estimates? What methodology is appropriate?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Is the 0.6/0.4 food/fuel split within ffShare appropriate? Should it vary by country income group?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Should financial contagion (banking sector exposure to Middle Eastern sovereign debt) be included, and if so, how should it be quantified?</w:t>
      </w:r>
    </w:p>
    <w:p>
      <w:pPr>
        <w:pBdr>
          <w:bottom w:val="single" w:color="DDDDEE" w:sz="4" w:space="1"/>
        </w:pBdr>
        <w:spacing w:after="160" w:before="160"/>
      </w:pPr>
    </w:p>
    <w:p>
      <w:pPr>
        <w:spacing w:after="100" w:before="8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To contribute data corrections, methodology improvements, or critiques: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Open a GitHub Discussion: github.com/war-impact-observatory/tracker/discussions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Email the author: sumitb1808@gmail.com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33"/>
          <w:sz w:val="22"/>
          <w:szCs w:val="22"/>
        </w:rPr>
        <w:t xml:space="preserve">Submit a Pull Request with proposed changes to data/baseline/countries.json</w:t>
      </w:r>
    </w:p>
    <w:p>
      <w:pPr>
        <w:pBdr>
          <w:bottom w:val="single" w:color="DDDDEE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War Impact Observatory — Methodology Document v1.0  —  CC BY 4.0</w:t>
      </w:r>
    </w:p>
    <w:p>
      <w:pPr>
        <w:jc w:val="center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Created by Sumit Bhosale — sumitb1808@gmail.com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DD" w:sz="4" w:space="1"/>
      </w:pBdr>
      <w:jc w:val="right"/>
    </w:pPr>
    <w:r>
      <w:rPr>
        <w:rFonts w:ascii="Arial" w:cs="Arial" w:eastAsia="Arial" w:hAnsi="Arial"/>
        <w:color w:val="888899"/>
        <w:sz w:val="18"/>
        <w:szCs w:val="18"/>
      </w:rPr>
      <w:t xml:space="preserve">Page </w:t>
    </w:r>
    <w:r>
      <w:rPr>
        <w:rFonts w:ascii="Arial" w:cs="Arial" w:eastAsia="Arial" w:hAnsi="Arial"/>
        <w:color w:val="8888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99"/>
        <w:sz w:val="18"/>
        <w:szCs w:val="18"/>
      </w:rPr>
      <w:t xml:space="preserve"> of </w:t>
    </w:r>
    <w:r>
      <w:rPr>
        <w:rFonts w:ascii="Arial" w:cs="Arial" w:eastAsia="Arial" w:hAnsi="Arial"/>
        <w:color w:val="8888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DD" w:sz="4" w:space="1"/>
      </w:pBdr>
    </w:pPr>
    <w:r>
      <w:rPr>
        <w:rFonts w:ascii="Arial" w:cs="Arial" w:eastAsia="Arial" w:hAnsi="Arial"/>
        <w:color w:val="888899"/>
        <w:sz w:val="18"/>
        <w:szCs w:val="18"/>
      </w:rPr>
      <w:t xml:space="preserve">War Impact Observatory — Methodology &amp; Parameter Calculation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2026-04-07T04:02:56.167Z</dcterms:created>
  <dcterms:modified xsi:type="dcterms:W3CDTF">2026-04-07T04:02:56.168Z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