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val="en-US"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gramStart"/>
            <w:r>
              <w:rPr>
                <w:rFonts w:eastAsia="Calibri"/>
                <w:lang w:eastAsia="en-US"/>
              </w:rPr>
              <w:t>20..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Председатель  методической</w:t>
            </w:r>
            <w:proofErr w:type="gramEnd"/>
            <w:r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gram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г. Люберцы, </w:t>
      </w:r>
      <w:proofErr w:type="gramStart"/>
      <w:r>
        <w:rPr>
          <w:rFonts w:eastAsia="Calibri"/>
          <w:bCs/>
          <w:lang w:eastAsia="en-US"/>
        </w:rPr>
        <w:t>20..</w:t>
      </w:r>
      <w:proofErr w:type="gramEnd"/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5CE0D13A" w14:textId="50C690C5" w:rsidR="002B3057" w:rsidRDefault="002B3057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lang w:eastAsia="en-US"/>
        </w:rPr>
        <w:t>.</w:t>
      </w:r>
    </w:p>
    <w:p w14:paraId="6CACBB18" w14:textId="53D48801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1B726BF4" w14:textId="1388DF19" w:rsidR="00B57C08" w:rsidRPr="0010475B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gridSpan w:val="2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</w:tr>
      <w:tr>
        <w:tc>
          <w:tcPr>
            <w:tcW w:w="2310" w:type="auto"/>
            <w:vMerge w:val="restart"/>
          </w:tcPr>
          <w:p>
            <w:pPr/>
            <w:r>
              <w:t>Theme 1. qwe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109,9</w:t>
            </w:r>
          </w:p>
        </w:tc>
        <w:tc>
          <w:tcPr>
            <w:tcW w:w="2310" w:type="auto"/>
            <w:vMerge w:val="restart"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qwe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asd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gtr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qwe</w:t>
            </w:r>
          </w:p>
        </w:tc>
        <w:tc>
          <w:tcPr>
            <w:tcW w:w="2310" w:type="auto"/>
          </w:tcPr>
          <w:p>
            <w:pPr/>
            <w:r>
              <w:t>234,1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gh</w:t>
            </w:r>
          </w:p>
        </w:tc>
        <w:tc>
          <w:tcPr>
            <w:tcW w:w="2310" w:type="auto"/>
          </w:tcPr>
          <w:p>
            <w:pPr/>
            <w:r>
              <w:t>24,1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tywe</w:t>
            </w:r>
          </w:p>
        </w:tc>
        <w:tc>
          <w:tcPr>
            <w:tcW w:w="2310" w:type="auto"/>
          </w:tcPr>
          <w:p>
            <w:pPr/>
            <w:r>
              <w:t>34,1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Theme 1. qwe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  <w:r>
              <w:t>109,9</w:t>
            </w:r>
          </w:p>
        </w:tc>
        <w:tc>
          <w:tcPr>
            <w:tcW w:w="2310" w:type="auto"/>
            <w:vMerge w:val="restart"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qwe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asd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  <w:r>
              <w:t>gtr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qwe</w:t>
            </w:r>
          </w:p>
        </w:tc>
        <w:tc>
          <w:tcPr>
            <w:tcW w:w="2310" w:type="auto"/>
          </w:tcPr>
          <w:p>
            <w:pPr/>
            <w:r>
              <w:t>234,1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gh</w:t>
            </w:r>
          </w:p>
        </w:tc>
        <w:tc>
          <w:tcPr>
            <w:tcW w:w="2310" w:type="auto"/>
          </w:tcPr>
          <w:p>
            <w:pPr/>
            <w:r>
              <w:t>24,1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t>tywe</w:t>
            </w:r>
          </w:p>
        </w:tc>
        <w:tc>
          <w:tcPr>
            <w:tcW w:w="2310" w:type="auto"/>
          </w:tcPr>
          <w:p>
            <w:pPr/>
            <w:r>
              <w:t>34,1</w:t>
            </w:r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vMerge w:val="restart"/>
          </w:tcPr>
          <w:p>
            <w:pPr/>
            <w:r>
              <w:rPr>
                <w:b/>
                <w:i/>
              </w:rPr>
              <w:t>Theme 1. qwe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2310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2310" w:type="auto"/>
            <w:vMerge w:val="restart"/>
          </w:tcPr>
          <w:p>
            <w:pPr/>
          </w:p>
        </w:tc>
        <w:tc>
          <w:tcPr>
            <w:tcW w:w="2310" w:type="auto"/>
            <w:vMerge w:val="restart"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vMerge/>
          </w:tcPr>
          <w:p>
            <w:pPr/>
          </w:p>
        </w:tc>
        <w:tc>
          <w:tcPr>
            <w:tcW w:w="2310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  <w:vMerge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 w14:paraId="406A94A0" w14:textId="77777777" w:rsidR="00B57C08" w:rsidRDefault="00B57C08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proofErr w:type="spellStart"/>
      <w:proofErr w:type="spellEnd"/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77777777" w:rsidR="00D358D0" w:rsidRDefault="00D358D0" w:rsidP="00D358D0">
      <w:pPr/>
      <w:r>
        <w:t>В результате освоения дисциплины обучающийся должен уметь:</w:t>
      </w:r>
    </w:p>
    <w:p w14:paraId="5C4563E4" w14:textId="77777777" w:rsidR="00D358D0" w:rsidRDefault="00D358D0" w:rsidP="00D358D0">
      <w:pPr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2310" w:type="auto"/>
          </w:tcPr>
          <w:p>
            <w:pPr/>
            <w:r>
              <w:t>У.1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06B0D2CB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</w:p>
    <w:p w14:paraId="61398208" w14:textId="5C4CBB0D" w:rsidR="00D358D0" w:rsidRPr="00D358D0" w:rsidRDefault="00D358D0" w:rsidP="00D358D0">
      <w:pPr>
        <w:spacing w:before="0" w:after="0"/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2310" w:type="auto"/>
          </w:tcPr>
          <w:p>
            <w:pPr/>
            <w:r>
              <w:t>З.1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</w:tbl>
    <w:p w14:paraId="763E5D85" w14:textId="77777777" w:rsidR="00D358D0" w:rsidRDefault="00D358D0" w:rsidP="00D358D0">
      <w:pPr/>
      <w:r>
        <w:t>В результате освоения дисциплины обучающийся осваивает элементы компетенций:</w:t>
      </w:r>
    </w:p>
    <w:p w14:paraId="5196B7BE" w14:textId="77777777" w:rsidR="00D358D0" w:rsidRDefault="00D358D0" w:rsidP="00D358D0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137"/>
      </w:tblGrid>
      <w:tr w:rsidR="00D358D0" w14:paraId="128F7D97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DAC1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2B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Наименование общих компетенций</w:t>
            </w:r>
          </w:p>
        </w:tc>
      </w:tr>
      <w:tr w:rsidR="00D358D0" w14:paraId="5D113466" w14:textId="77777777" w:rsidTr="00D358D0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BD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E7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 xml:space="preserve">Берутся в соответствии с ФГОС по профессии (специальности) </w:t>
            </w:r>
          </w:p>
        </w:tc>
      </w:tr>
      <w:tr w:rsidR="00D358D0" w14:paraId="781DC695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1DA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298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……..</w:t>
            </w:r>
          </w:p>
        </w:tc>
      </w:tr>
    </w:tbl>
    <w:p w14:paraId="29584375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b/>
          <w:i w:val="0"/>
          <w:sz w:val="24"/>
          <w:szCs w:val="24"/>
        </w:rPr>
      </w:pPr>
    </w:p>
    <w:p w14:paraId="3A20A6C3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iCs w:val="0"/>
          <w:sz w:val="24"/>
          <w:szCs w:val="24"/>
        </w:rPr>
      </w:pPr>
      <w:r>
        <w:rPr>
          <w:rStyle w:val="a7"/>
          <w:rFonts w:eastAsia="Calibri"/>
          <w:b/>
          <w:sz w:val="24"/>
          <w:szCs w:val="24"/>
        </w:rPr>
        <w:t xml:space="preserve">Перечень профессиональных компетенций </w:t>
      </w:r>
      <w:proofErr w:type="gramStart"/>
      <w:r>
        <w:rPr>
          <w:rStyle w:val="a7"/>
          <w:rFonts w:eastAsia="Calibri"/>
          <w:b/>
          <w:sz w:val="24"/>
          <w:szCs w:val="24"/>
        </w:rPr>
        <w:t>элементы</w:t>
      </w:r>
      <w:proofErr w:type="gramEnd"/>
      <w:r>
        <w:rPr>
          <w:rStyle w:val="a7"/>
          <w:rFonts w:eastAsia="Calibri"/>
          <w:b/>
          <w:sz w:val="24"/>
          <w:szCs w:val="24"/>
        </w:rPr>
        <w:t xml:space="preserve">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D358D0" w14:paraId="3B37E809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56B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761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Наименование видов деятельности и профессиональных компетенций</w:t>
            </w:r>
          </w:p>
        </w:tc>
      </w:tr>
      <w:tr w:rsidR="00D358D0" w14:paraId="1E3A7BB0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640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5AA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Берется из ФГОС по профессии (специальности)</w:t>
            </w:r>
          </w:p>
        </w:tc>
      </w:tr>
      <w:tr w:rsidR="00D358D0" w14:paraId="58979F26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C470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CAA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</w:p>
        </w:tc>
      </w:tr>
      <w:tr w:rsidR="00D358D0" w14:paraId="5045D79C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4D2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6433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263BB5A2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68C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130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b/>
                <w:iCs w:val="0"/>
                <w:sz w:val="24"/>
                <w:szCs w:val="24"/>
              </w:rPr>
            </w:pPr>
            <w:r>
              <w:rPr>
                <w:rStyle w:val="a7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18137E3D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C34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97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iCs w:val="0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 </w:t>
            </w:r>
          </w:p>
        </w:tc>
      </w:tr>
    </w:tbl>
    <w:p w14:paraId="3EDEB9BC" w14:textId="77777777" w:rsidR="00D358D0" w:rsidRDefault="00D358D0" w:rsidP="00D358D0">
      <w:pPr/>
    </w:p>
    <w:p w14:paraId="01883765" w14:textId="77777777" w:rsidR="00D358D0" w:rsidRDefault="00D358D0" w:rsidP="00D358D0">
      <w:pPr/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lastRenderedPageBreak/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77777777" w:rsidR="00D358D0" w:rsidRDefault="00D358D0" w:rsidP="00D358D0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57B4E82D" w14:textId="77777777" w:rsidR="00D358D0" w:rsidRDefault="00D358D0" w:rsidP="00D358D0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820"/>
        <w:gridCol w:w="1376"/>
        <w:gridCol w:w="2723"/>
        <w:gridCol w:w="1985"/>
      </w:tblGrid>
      <w:tr w:rsidR="00D358D0" w14:paraId="2616C487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DB51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8B84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FA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F5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F6E6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D358D0" w14:paraId="6576351F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2E4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7957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9C1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6136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D358D0" w14:paraId="0BAC28ED" w14:textId="77777777" w:rsidTr="00D358D0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E4AB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08B138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6DF0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60D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4252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73C4FAA2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78E" w14:textId="77777777" w:rsidR="00D358D0" w:rsidRDefault="00D358D0">
            <w:pPr>
              <w:suppressAutoHyphens/>
              <w:spacing w:after="0" w:line="254" w:lineRule="auto"/>
              <w:rPr>
                <w:b/>
                <w:i/>
                <w:lang w:eastAsia="en-US"/>
              </w:rPr>
            </w:pPr>
          </w:p>
          <w:p w14:paraId="5824826B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D358D0" w14:paraId="77BA0F3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CEB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E1F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C34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A6F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CB3F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6A12BE0D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CCCD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4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AE8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E961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F29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1097652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1F4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9C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8033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11A0FD3F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0FC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E2C565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F06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E8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8E6E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BD6FD1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</w:t>
            </w:r>
            <w:proofErr w:type="spellStart"/>
            <w:r>
              <w:rPr>
                <w:b/>
                <w:i/>
                <w:highlight w:val="cyan"/>
                <w:lang w:eastAsia="en-US"/>
              </w:rPr>
              <w:t>ые</w:t>
            </w:r>
            <w:proofErr w:type="spellEnd"/>
            <w:r>
              <w:rPr>
                <w:b/>
                <w:i/>
                <w:highlight w:val="cyan"/>
                <w:lang w:eastAsia="en-US"/>
              </w:rPr>
              <w:t>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EB6B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45F83139" w14:textId="10BA66AD" w:rsidR="00D358D0" w:rsidRDefault="00D358D0" w:rsidP="00D358D0">
      <w:pPr/>
    </w:p>
    <w:p w14:paraId="5A01B584" w14:textId="77777777" w:rsidR="007C4D38" w:rsidRDefault="007C4D38" w:rsidP="00D358D0">
      <w:pPr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560533" w14:paraId="7C6BAC39" w14:textId="77777777" w:rsidTr="00560533">
        <w:trPr>
          <w:trHeight w:val="2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58D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5C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25F" w14:textId="77777777" w:rsidR="00560533" w:rsidRDefault="00560533">
            <w:pPr>
              <w:spacing w:line="256" w:lineRule="auto"/>
              <w:rPr>
                <w:b/>
                <w:bCs/>
                <w:i/>
                <w:highlight w:val="cyan"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421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CEA2ADD" w14:textId="77777777" w:rsidTr="00560533">
        <w:trPr>
          <w:trHeight w:val="2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8D3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N.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82B5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1B3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9ED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609AD8C0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2BAC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560533" w14:paraId="01C5948F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682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FF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8BC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249E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7F9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2C3CCD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D73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30D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A83B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D080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9C1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184CF44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12B7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77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F53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B29C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C4898A2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EC1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BC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1.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D4BE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E22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BFC60DB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97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330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845A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6C79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29057CF7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97FD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8400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CB9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46A8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37908878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D2B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Курсовой проект (работа) (если предусмотрено)</w:t>
            </w:r>
          </w:p>
          <w:p w14:paraId="257B9F28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Тематика курсовых проектов (работ)</w:t>
            </w:r>
          </w:p>
          <w:p w14:paraId="129591D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1.  .………………………………………</w:t>
            </w:r>
          </w:p>
          <w:p w14:paraId="0F094D9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val="en-US" w:eastAsia="en-US"/>
              </w:rPr>
              <w:t>n</w:t>
            </w:r>
            <w:r>
              <w:rPr>
                <w:b/>
                <w:i/>
                <w:highlight w:val="green"/>
                <w:lang w:eastAsia="en-US"/>
              </w:rPr>
              <w:t>.  ………………………………………..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2559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2B4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8E50D14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EC8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Дифференцированный зачет/зачет, экзамен</w:t>
            </w:r>
          </w:p>
          <w:p w14:paraId="56055AAB" w14:textId="77777777" w:rsidR="00560533" w:rsidRDefault="00560533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Консультации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E0F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217CA6B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3F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60060652" w14:textId="77777777" w:rsidTr="00560533">
        <w:trPr>
          <w:trHeight w:val="20"/>
        </w:trPr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BAD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Всего: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A135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777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</w:tr>
    </w:tbl>
    <w:p w14:paraId="5D1ED119" w14:textId="77777777" w:rsidR="00392282" w:rsidRDefault="00392282" w:rsidP="00392282">
      <w:pPr>
        <w:rPr>
          <w:b/>
          <w:bCs/>
          <w:i/>
        </w:rPr>
      </w:pP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lastRenderedPageBreak/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77777777" w:rsidR="00392282" w:rsidRDefault="00392282" w:rsidP="00392282">
      <w:pPr/>
      <w:r>
        <w:t xml:space="preserve">учебного кабинета </w:t>
      </w:r>
      <w:r>
        <w:rPr>
          <w:highlight w:val="green"/>
        </w:rPr>
        <w:t>____________________;</w:t>
      </w:r>
      <w:r>
        <w:t xml:space="preserve"> </w:t>
      </w:r>
      <w:r>
        <w:rPr>
          <w:highlight w:val="green"/>
        </w:rPr>
        <w:t>мастерской _________________; лаборатории</w:t>
      </w:r>
      <w:r>
        <w:t xml:space="preserve"> </w:t>
      </w:r>
      <w:r>
        <w:rPr>
          <w:highlight w:val="green"/>
        </w:rPr>
        <w:t>_________________</w:t>
      </w:r>
      <w:r>
        <w:t>.</w:t>
      </w:r>
    </w:p>
    <w:p w14:paraId="2E739797" w14:textId="48A08FB2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</w:t>
      </w:r>
      <w:r w:rsidR="0010475B">
        <w:rPr>
          <w:bCs/>
        </w:rPr>
        <w:t>кабинета:</w:t>
      </w:r>
      <w:r>
        <w:rPr>
          <w:bCs/>
        </w:rPr>
        <w:t xml:space="preserve">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4FE9FCDA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77777777" w:rsidR="00392282" w:rsidRDefault="00392282" w:rsidP="00392282">
      <w:pPr>
        <w:rPr>
          <w:b/>
          <w:bCs/>
          <w:i/>
        </w:rPr>
      </w:pPr>
    </w:p>
    <w:p w14:paraId="3DD63AEB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5E9F0E74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6FA641D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EDF7C90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7EBA537C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 xml:space="preserve">                                   (электронные издания):</w:t>
      </w:r>
    </w:p>
    <w:p w14:paraId="4D21BE9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2298D111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5B992D79" w14:textId="77777777" w:rsidR="00392282" w:rsidRDefault="00392282" w:rsidP="00392282">
      <w:pPr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………………..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10FA0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62A23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03DBCF96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2B8D759A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1968034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lastRenderedPageBreak/>
        <w:t>…………….</w:t>
      </w:r>
    </w:p>
    <w:p w14:paraId="25C11958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BF5FF42" w14:textId="77777777" w:rsidR="009C1B8C" w:rsidRDefault="009C1B8C" w:rsidP="009C1B8C">
      <w:pPr>
        <w:spacing w:before="0" w:after="200" w:line="276" w:lineRule="auto"/>
        <w:ind w:left="360"/>
        <w:rPr>
          <w:b/>
          <w:bCs/>
          <w:i/>
          <w:highlight w:val="green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9C1B8C" w14:paraId="1DD3862D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3E0" w14:textId="6EC5FDF4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Результаты </w:t>
            </w:r>
            <w:r w:rsidR="004403F9">
              <w:rPr>
                <w:b/>
                <w:bCs/>
                <w:i/>
                <w:lang w:eastAsia="en-US"/>
              </w:rPr>
              <w:t>обучения (</w:t>
            </w:r>
            <w:r>
              <w:rPr>
                <w:b/>
                <w:bCs/>
                <w:i/>
                <w:lang w:eastAsia="en-US"/>
              </w:rPr>
              <w:t>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08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0F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9C1B8C" w14:paraId="2DD8ED1F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56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8E1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10D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9C1B8C" w14:paraId="45190D58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93A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7DF0A465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13DFC07D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09E83063" w14:textId="77777777" w:rsidR="009C1B8C" w:rsidRDefault="009C1B8C">
            <w:pPr>
              <w:suppressAutoHyphens/>
              <w:spacing w:after="0" w:line="254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98D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0F9C39EC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766C216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3C30BE67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B5D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728EF60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6873FF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9C1B8C" w14:paraId="0E5B485C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264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459135F9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6ED05DCE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  <w:p w14:paraId="4AABAB8F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lastRenderedPageBreak/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3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5 «отлично»-</w:t>
            </w:r>
          </w:p>
          <w:p w14:paraId="02140F55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569CE11B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3 «удовлетворительно»-</w:t>
            </w:r>
          </w:p>
          <w:p w14:paraId="5B74AF9C" w14:textId="77777777" w:rsidR="009C1B8C" w:rsidRDefault="009C1B8C">
            <w:pPr>
              <w:spacing w:line="254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EC9C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lastRenderedPageBreak/>
              <w:t xml:space="preserve">-Экспертное наблюдение и оценивание </w:t>
            </w:r>
            <w:r>
              <w:rPr>
                <w:highlight w:val="green"/>
                <w:lang w:eastAsia="en-US"/>
              </w:rPr>
              <w:lastRenderedPageBreak/>
              <w:t xml:space="preserve">выполнения практических работ; </w:t>
            </w:r>
          </w:p>
          <w:p w14:paraId="615ED697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5EF39B4E" w14:textId="77777777" w:rsidR="009C1B8C" w:rsidRDefault="009C1B8C" w:rsidP="009C1B8C">
      <w:pPr/>
    </w:p>
    <w:p w14:paraId="4299EDC8" w14:textId="77777777" w:rsidR="009C1B8C" w:rsidRDefault="009C1B8C" w:rsidP="009C1B8C">
      <w:pPr/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69784" w14:textId="77777777" w:rsidR="006C286A" w:rsidRDefault="006C286A" w:rsidP="002B3057">
      <w:pPr>
        <w:spacing w:before="0" w:after="0"/>
      </w:pPr>
      <w:r>
        <w:separator/>
      </w:r>
    </w:p>
  </w:endnote>
  <w:endnote w:type="continuationSeparator" w:id="0">
    <w:p w14:paraId="374CFCBF" w14:textId="77777777" w:rsidR="006C286A" w:rsidRDefault="006C286A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C6662" w14:textId="77777777" w:rsidR="006C286A" w:rsidRDefault="006C286A" w:rsidP="002B3057">
      <w:pPr>
        <w:spacing w:before="0" w:after="0"/>
      </w:pPr>
      <w:r>
        <w:separator/>
      </w:r>
    </w:p>
  </w:footnote>
  <w:footnote w:type="continuationSeparator" w:id="0">
    <w:p w14:paraId="1921055E" w14:textId="77777777" w:rsidR="006C286A" w:rsidRDefault="006C286A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D06A2"/>
    <w:rsid w:val="0010475B"/>
    <w:rsid w:val="002B3057"/>
    <w:rsid w:val="00346BC3"/>
    <w:rsid w:val="0036460F"/>
    <w:rsid w:val="00392282"/>
    <w:rsid w:val="004403F9"/>
    <w:rsid w:val="00472165"/>
    <w:rsid w:val="00487272"/>
    <w:rsid w:val="00560533"/>
    <w:rsid w:val="00682CDB"/>
    <w:rsid w:val="006C286A"/>
    <w:rsid w:val="007450E7"/>
    <w:rsid w:val="007C4D38"/>
    <w:rsid w:val="007E2148"/>
    <w:rsid w:val="008A0091"/>
    <w:rsid w:val="00982453"/>
    <w:rsid w:val="009C1B8C"/>
    <w:rsid w:val="00A12E32"/>
    <w:rsid w:val="00B57C08"/>
    <w:rsid w:val="00C059BF"/>
    <w:rsid w:val="00CE419F"/>
    <w:rsid w:val="00D358D0"/>
    <w:rsid w:val="00F85746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14</cp:revision>
  <dcterms:created xsi:type="dcterms:W3CDTF">2021-04-10T09:25:00Z</dcterms:created>
  <dcterms:modified xsi:type="dcterms:W3CDTF">2021-04-25T12:04:00Z</dcterms:modified>
</cp:coreProperties>
</file>