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600519.SS 公司研究报告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symbol</w:t>
            </w:r>
          </w:p>
        </w:tc>
        <w:tc>
          <w:tcPr>
            <w:tcW w:type="dxa" w:w="4320"/>
          </w:tcPr>
          <w:p>
            <w:r>
              <w:t>600519.SS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company</w:t>
            </w:r>
          </w:p>
        </w:tc>
      </w:tr>
    </w:tbl>
    <w:p/>
    <w:p>
      <w:r>
        <w:t>好的，这是根据您提供的多智能体草稿、证据摘要、审计分层和验证报告，生成的带证据审计分层的详细中文研报。</w:t>
      </w:r>
    </w:p>
    <w:p>
      <w:r>
        <w:t>---</w:t>
      </w:r>
    </w:p>
    <w:p>
      <w:pPr>
        <w:pStyle w:val="Heading1"/>
      </w:pPr>
      <w:r>
        <w:t>金融研究报告：贵州茅台 (600519.SS) 2025Q4 分析</w:t>
      </w:r>
    </w:p>
    <w:p>
      <w:r>
        <w:t>由 Open DeepReport++ 多智能体系统生成。</w:t>
      </w:r>
    </w:p>
    <w:p>
      <w:pPr>
        <w:pStyle w:val="Heading2"/>
      </w:pPr>
      <w:r>
        <w:t>执行摘要</w:t>
      </w:r>
    </w:p>
    <w:p>
      <w:r>
        <w:t>本节包含初步观察，但均未通过严格证据审计，归类为待补证（待验证）。目前无任何可直接核实的财务表现结论。</w:t>
      </w:r>
    </w:p>
    <w:p>
      <w:pPr>
        <w:pStyle w:val="Heading2"/>
      </w:pPr>
      <w:r>
        <w:t>业务概览</w:t>
      </w:r>
    </w:p>
    <w:p>
      <w:r>
        <w:t>本节内容根据现有证据进行呈现。</w:t>
      </w:r>
    </w:p>
    <w:p>
      <w:pPr>
        <w:pStyle w:val="Heading3"/>
      </w:pPr>
      <w:r>
        <w:t>【已证实】</w:t>
      </w:r>
    </w:p>
    <w:p>
      <w:pPr>
        <w:pStyle w:val="ListBullet"/>
      </w:pPr>
      <w:r>
        <w:t>证据覆盖情况：对标的600519.SS的本次分析覆盖了6条证据记录，这些记录均源自1类公开渠道（官方公告）。</w:t>
      </w:r>
    </w:p>
    <w:p>
      <w:pPr>
        <w:pStyle w:val="ListBullet"/>
      </w:pPr>
      <w:r>
        <w:t>证据ID: 6005192025Q4cninfo1f54dbfc0e, 6005192025Q4cninfo4f7e837a05, 6005192025Q4cninfo95d71e935d, 6005192025Q4cninfoab4566bc68, 6005192025Q4cninfoba21bf4403, 6005192025Q4cninfod1a71be2ff</w:t>
      </w:r>
    </w:p>
    <w:p>
      <w:pPr>
        <w:pStyle w:val="ListBullet"/>
      </w:pPr>
      <w:r>
        <w:t>置信度: 0.76</w:t>
      </w:r>
    </w:p>
    <w:p>
      <w:pPr>
        <w:pStyle w:val="Heading3"/>
      </w:pPr>
      <w:r>
        <w:t>【待补证】</w:t>
      </w:r>
    </w:p>
    <w:p>
      <w:pPr>
        <w:pStyle w:val="ListBullet"/>
      </w:pPr>
      <w:r>
        <w:t>从现有证据来源的标题推断，贵州茅台在分析周期内发布了2025年半年度、第三季度、年度（含中英文版及摘要）以及2026年第一季度等多项定期报告。这表明公司有着规律且全面的信息披露周期，但其对2025Q4期间的具体业务表现和战略作为，目前缺少直接证据。</w:t>
      </w:r>
    </w:p>
    <w:p>
      <w:pPr>
        <w:pStyle w:val="Heading2"/>
      </w:pPr>
      <w:r>
        <w:t>股权结构与公司治理</w:t>
      </w:r>
    </w:p>
    <w:p>
      <w:pPr>
        <w:pStyle w:val="ListBullet"/>
      </w:pPr>
      <w:r>
        <w:t>本节暂无可验证结论。 未发现与股权结构或公司治理相关的直接证据。</w:t>
      </w:r>
    </w:p>
    <w:p>
      <w:pPr>
        <w:pStyle w:val="Heading2"/>
      </w:pPr>
      <w:r>
        <w:t>战略与主营业务</w:t>
      </w:r>
    </w:p>
    <w:p>
      <w:pPr>
        <w:pStyle w:val="ListBullet"/>
      </w:pPr>
      <w:r>
        <w:t>本节暂无可验证结论。 未发现描述公司战略或主营业务变化的直接证据。</w:t>
      </w:r>
    </w:p>
    <w:p>
      <w:pPr>
        <w:pStyle w:val="Heading2"/>
      </w:pPr>
      <w:r>
        <w:t>三表摘要</w:t>
      </w:r>
    </w:p>
    <w:p>
      <w:pPr>
        <w:pStyle w:val="ListBullet"/>
      </w:pPr>
      <w:r>
        <w:t>本节暂无可验证结论。 从证据摘要来看，现有引用仅为官方公告的元数据（标题、发布日期、链接），并未提取其中的具体财务数据，因此无法生成任何三表摘要内容。</w:t>
      </w:r>
    </w:p>
    <w:p>
      <w:pPr>
        <w:pStyle w:val="Heading2"/>
      </w:pPr>
      <w:r>
        <w:t>财务分析</w:t>
      </w:r>
    </w:p>
    <w:p>
      <w:pPr>
        <w:pStyle w:val="Heading3"/>
      </w:pPr>
      <w:r>
        <w:t>【已证实】</w:t>
      </w:r>
    </w:p>
    <w:p>
      <w:pPr>
        <w:pStyle w:val="ListNumber"/>
      </w:pPr>
      <w:r>
        <w:t>信息披露及时性良好：贵州茅台按时披露了2025年半年度报告、第三季度报告、年度报告（含摘要及英文版）及2026年第一季度报告，展现出良好的信息披露及时性。</w:t>
      </w:r>
    </w:p>
    <w:p>
      <w:pPr>
        <w:pStyle w:val="ListBullet"/>
      </w:pPr>
      <w:r>
        <w:t>证据ID: 6005192025Q4cninfo4f7e837a05 (2026Q1报告), 6005192025Q4cninfoba21bf4403 (2025年年报), 6005192025Q4cninfo1f54dbfc0e (2025年年报摘要), 6005192025Q4cninfo95d71e935d (2025Q3报告), 6005192025Q4cninfod1a71be2ff (2025年半年报)</w:t>
      </w:r>
    </w:p>
    <w:p>
      <w:pPr>
        <w:pStyle w:val="ListBullet"/>
      </w:pPr>
      <w:r>
        <w:t>置信度: 0.90</w:t>
      </w:r>
    </w:p>
    <w:p>
      <w:pPr>
        <w:pStyle w:val="Heading3"/>
      </w:pPr>
      <w:r>
        <w:t>【待补证】</w:t>
      </w:r>
    </w:p>
    <w:p>
      <w:pPr>
        <w:pStyle w:val="ListBullet"/>
      </w:pPr>
      <w:r>
        <w:t>尽管公司信息披露及时，但现有证据不支持对2025年第四季度的具体财务表现（如收入、净利润、毛利率等）做出任何结论。相关财务数据未能从证据摘要中提取。</w:t>
      </w:r>
    </w:p>
    <w:p>
      <w:pPr>
        <w:pStyle w:val="Heading2"/>
      </w:pPr>
      <w:r>
        <w:t>同行对比</w:t>
      </w:r>
    </w:p>
    <w:p>
      <w:pPr>
        <w:pStyle w:val="ListBullet"/>
      </w:pPr>
      <w:r>
        <w:t>本节暂无可验证结论。 未发现用于同行业对比的其他公司财务数据或行业基准。</w:t>
      </w:r>
    </w:p>
    <w:p>
      <w:pPr>
        <w:pStyle w:val="Heading2"/>
      </w:pPr>
      <w:r>
        <w:t>估值观察</w:t>
      </w:r>
    </w:p>
    <w:p>
      <w:pPr>
        <w:pStyle w:val="ListBullet"/>
      </w:pPr>
      <w:r>
        <w:t>本节暂无可验证结论。 未发现与公司估值相关的财务指标或市场数据（如市盈率、市净率）。</w:t>
      </w:r>
    </w:p>
    <w:p>
      <w:pPr>
        <w:pStyle w:val="Heading2"/>
      </w:pPr>
      <w:r>
        <w:t>估值敏感性</w:t>
      </w:r>
    </w:p>
    <w:p>
      <w:pPr>
        <w:pStyle w:val="ListBullet"/>
      </w:pPr>
      <w:r>
        <w:t>本节暂无可验证结论。 估值模型及敏感性分析所需的核心假设和数据均缺失。</w:t>
      </w:r>
    </w:p>
    <w:p>
      <w:pPr>
        <w:pStyle w:val="Heading2"/>
      </w:pPr>
      <w:r>
        <w:t>风险评估</w:t>
      </w:r>
    </w:p>
    <w:p>
      <w:pPr>
        <w:pStyle w:val="ListBullet"/>
      </w:pPr>
      <w:r>
        <w:t>本节暂无可验证结论。 未发现直接论述公司经营风险、市场风险或合规风险的证据。</w:t>
      </w:r>
    </w:p>
    <w:p>
      <w:pPr>
        <w:pStyle w:val="Heading2"/>
      </w:pPr>
      <w:r>
        <w:t>投资结论</w:t>
      </w:r>
    </w:p>
    <w:p>
      <w:pPr>
        <w:pStyle w:val="ListBullet"/>
      </w:pPr>
      <w:r>
        <w:t>本节暂无可验证结论。 基于现有证据，无法对公司的投资价值或未来前景做出任何评估。</w:t>
      </w:r>
    </w:p>
    <w:p>
      <w:pPr>
        <w:pStyle w:val="Heading2"/>
      </w:pPr>
      <w:r>
        <w:t>图表</w:t>
      </w:r>
    </w:p>
    <w:p>
      <w:r>
        <w:t>以下图表基于现有证据数据生成，以可视化方式呈现研究中的指标和证据结构。</w:t>
      </w:r>
    </w:p>
    <w:p>
      <w:r>
        <w:t>图表：关键指标 (eval_outputs/api_validation_20260516_600519SS_ashare_official_v1/company/outputs/charts/key_metrics_bar.png)</w:t>
      </w:r>
    </w:p>
    <w:p>
      <w:r>
        <w:t>图表：结论置信度 (eval_outputs/api_validation_20260516_600519SS_ashare_official_v1/company/outputs/charts/claim_confidence_bar.png)</w:t>
      </w:r>
    </w:p>
    <w:p>
      <w:r>
        <w:t>图表：证据来源结构 (eval_outputs/api_validation_20260516_600519SS_ashare_official_v1/company/outputs/charts/evidence_source_mix.png)</w:t>
      </w:r>
    </w:p>
    <w:p>
      <w:pPr>
        <w:pStyle w:val="Heading2"/>
      </w:pPr>
      <w:r>
        <w:t>参考来源</w:t>
      </w:r>
    </w:p>
    <w:p>
      <w:r>
        <w:t>以下为本报告中所有“已证实”结论的直接引用来源：</w:t>
      </w:r>
    </w:p>
    <w:p>
      <w:pPr>
        <w:pStyle w:val="ListNumber"/>
      </w:pPr>
      <w:r>
        <w:t>[证据ID: 6005192025Q4cninfo4f7e837a05] 贵州茅台2026年第一季度报告 (official)</w:t>
      </w:r>
    </w:p>
    <w:p>
      <w:pPr>
        <w:pStyle w:val="ListBullet"/>
      </w:pPr>
      <w:r>
        <w:t>支持结论: 信息披露及时性良好</w:t>
      </w:r>
    </w:p>
    <w:p>
      <w:pPr>
        <w:pStyle w:val="ListBullet"/>
      </w:pPr>
      <w:r>
        <w:t>来源: http://static.cninfo.com.cn/finalpage/2026-04-25/1225187851.PDF</w:t>
      </w:r>
    </w:p>
    <w:p>
      <w:pPr>
        <w:pStyle w:val="ListNumber"/>
      </w:pPr>
      <w:r>
        <w:t>[证据ID: 6005192025Q4cninfoba21bf4403] 贵州茅台2025年年度报告 (official)</w:t>
      </w:r>
    </w:p>
    <w:p>
      <w:pPr>
        <w:pStyle w:val="ListBullet"/>
      </w:pPr>
      <w:r>
        <w:t>支持结论: 信息披露及时性良好</w:t>
      </w:r>
    </w:p>
    <w:p>
      <w:pPr>
        <w:pStyle w:val="ListBullet"/>
      </w:pPr>
      <w:r>
        <w:t>来源: http://static.cninfo.com.cn/finalpage/2026-04-17/1225114741.PDF</w:t>
      </w:r>
    </w:p>
    <w:p>
      <w:pPr>
        <w:pStyle w:val="ListNumber"/>
      </w:pPr>
      <w:r>
        <w:t>[证据ID: 6005192025Q4cninfo1f54dbfc0e] 贵州茅台2025年年度报告摘要 (official)</w:t>
      </w:r>
    </w:p>
    <w:p>
      <w:pPr>
        <w:pStyle w:val="ListBullet"/>
      </w:pPr>
      <w:r>
        <w:t>支持结论: 信息披露及时性良好</w:t>
      </w:r>
    </w:p>
    <w:p>
      <w:pPr>
        <w:pStyle w:val="ListBullet"/>
      </w:pPr>
      <w:r>
        <w:t>来源: http://static.cninfo.com.cn/finalpage/2026-04-17/1225114731.PDF</w:t>
      </w:r>
    </w:p>
    <w:p>
      <w:pPr>
        <w:pStyle w:val="ListNumber"/>
      </w:pPr>
      <w:r>
        <w:t>[证据ID: 6005192025Q4cninfo95d71e935d] 贵州茅台2025年第三季度报告 (official)</w:t>
      </w:r>
    </w:p>
    <w:p>
      <w:pPr>
        <w:pStyle w:val="ListBullet"/>
      </w:pPr>
      <w:r>
        <w:t>支持结论: 信息披露及时性良好</w:t>
      </w:r>
    </w:p>
    <w:p>
      <w:pPr>
        <w:pStyle w:val="ListBullet"/>
      </w:pPr>
      <w:r>
        <w:t>来源: http://static.cninfo.com.cn/finalpage/2025-10-30/1224764517.PDF</w:t>
      </w:r>
    </w:p>
    <w:p>
      <w:pPr>
        <w:pStyle w:val="ListNumber"/>
      </w:pPr>
      <w:r>
        <w:t>[证据ID: 6005192025Q4cninfod1a71be2ff] 贵州茅台2025年半年度报告 (official)</w:t>
      </w:r>
    </w:p>
    <w:p>
      <w:pPr>
        <w:pStyle w:val="ListBullet"/>
      </w:pPr>
      <w:r>
        <w:t>支持结论: 信息披露及时性良好</w:t>
      </w:r>
    </w:p>
    <w:p>
      <w:pPr>
        <w:pStyle w:val="ListBullet"/>
      </w:pPr>
      <w:r>
        <w:t>来源: http://static.cninfo.com.cn/finalpage/2025-08-13/1224462930.PDF</w:t>
      </w:r>
    </w:p>
    <w:p>
      <w:pPr>
        <w:pStyle w:val="Heading2"/>
      </w:pPr>
      <w:r>
        <w:t>合规披露与风险提示</w:t>
      </w:r>
    </w:p>
    <w:p>
      <w:pPr>
        <w:pStyle w:val="ListBullet"/>
      </w:pPr>
      <w:r>
        <w:t>投资评级：未评级。本报告不构成买入、卖出或持有任何证券的直接建议。</w:t>
      </w:r>
    </w:p>
    <w:p>
      <w:pPr>
        <w:pStyle w:val="ListBullet"/>
      </w:pPr>
      <w:r>
        <w:t>资料来源：结构化引用共 6 条，来源分布：official 6 条。</w:t>
      </w:r>
    </w:p>
    <w:p>
      <w:pPr>
        <w:pStyle w:val="ListBullet"/>
      </w:pPr>
      <w:r>
        <w:t>风险提示：市场波动、宏观政策变化、行业竞争、公司经营、汇率与利率变化、数据延迟或第三方数据错误均可能影响结论。</w:t>
      </w:r>
    </w:p>
    <w:p>
      <w:pPr>
        <w:pStyle w:val="ListBullet"/>
      </w:pPr>
      <w:r>
        <w:t>利益冲突声明：本系统未接入作者持仓、投行业务或客户交易信息；如用于正式发布，应由持牌机构补充人工复核和利益冲突披露。</w:t>
      </w:r>
    </w:p>
    <w:p>
      <w:pPr>
        <w:pStyle w:val="ListBullet"/>
      </w:pPr>
      <w:r>
        <w:t>使用限制：本报告由多智能体系统基于可用公开资料和本地数据自动生成，仅供研究和技术验证参考。</w:t>
      </w:r>
    </w:p>
    <w:p>
      <w:r>
        <w:t>---</w:t>
      </w:r>
    </w:p>
    <w:p>
      <w:pPr>
        <w:pStyle w:val="Heading2"/>
      </w:pPr>
      <w:r>
        <w:t>需补证事项总结</w:t>
      </w:r>
    </w:p>
    <w:p>
      <w:r>
        <w:t>为完成一份更全面的研究报告，未来需要补充以下证据：</w:t>
      </w:r>
    </w:p>
    <w:p>
      <w:pPr>
        <w:pStyle w:val="ListNumber"/>
      </w:pPr>
      <w:r>
        <w:t>具体财务数据：从2025年年度报告、2025年第三季度报告等官方文件中提取具体的资产负债表、利润表和现金流量表数据，以进行财务分析。</w:t>
      </w:r>
    </w:p>
    <w:p>
      <w:pPr>
        <w:pStyle w:val="ListNumber"/>
      </w:pPr>
      <w:r>
        <w:t>业务与战略描述：收集管理层讨论与分析、业务回顾与展望等章节的内容，以分析公司战略和主营业务发展。</w:t>
      </w:r>
    </w:p>
    <w:p>
      <w:pPr>
        <w:pStyle w:val="ListNumber"/>
      </w:pPr>
      <w:r>
        <w:t>行业与估值数据：获取行业可比公司的财务数据和市场估值指标，用于同行对比和估值分析。</w:t>
      </w:r>
    </w:p>
    <w:p>
      <w:pPr>
        <w:pStyle w:val="ListNumber"/>
      </w:pPr>
      <w:r>
        <w:t>风险因素披露：从年报中提取具体的风险因素描述，以完成风险评估部分。</w:t>
      </w:r>
    </w:p>
    <w:p>
      <w:pPr>
        <w:pStyle w:val="Heading2"/>
      </w:pPr>
      <w:r>
        <w:t>证据审计分层</w:t>
      </w:r>
    </w:p>
    <w:p>
      <w:pPr>
        <w:pStyle w:val="Heading3"/>
      </w:pPr>
      <w:r>
        <w:t>已证实</w:t>
      </w:r>
    </w:p>
    <w:p>
      <w:pPr>
        <w:pStyle w:val="ListBullet"/>
      </w:pPr>
      <w:r>
        <w:t>贵州茅台按时披露了2025年半年度、第三季度、年度及2026年第一季度定期报告，信息披露及时性良好。 [6005192025Q4cninfo4f7e837a05, 6005192025Q4cninfoba21bf4403, 6005192025Q4cninfo1f54dbfc0e, 6005192025Q4cninfo95d71e935d, 6005192025Q4cninfod1a71be2ff]</w:t>
      </w:r>
    </w:p>
    <w:p>
      <w:pPr>
        <w:pStyle w:val="ListBullet"/>
      </w:pPr>
      <w:r>
        <w:t>600519.SS 的证据覆盖包括 6 条记录，横跨 1 类来源。 [6005192025Q4cninfo1f54dbfc0e, 6005192025Q4cninfo4f7e837a05, 6005192025Q4cninfo95d71e935d, 6005192025Q4cninfoab4566bc68, 6005192025Q4cninfoba21bf4403, 6005192025Q4cninfod1a71be2ff]</w:t>
      </w:r>
    </w:p>
    <w:p>
      <w:pPr>
        <w:pStyle w:val="Heading3"/>
      </w:pPr>
      <w:r>
        <w:t>待补证</w:t>
      </w:r>
    </w:p>
    <w:p>
      <w:pPr>
        <w:pStyle w:val="ListBullet"/>
      </w:pPr>
      <w:r>
        <w:t>暂无。</w:t>
      </w:r>
    </w:p>
    <w:p>
      <w:pPr>
        <w:pStyle w:val="Heading3"/>
      </w:pPr>
      <w:r>
        <w:t>不支持</w:t>
      </w:r>
    </w:p>
    <w:p>
      <w:pPr>
        <w:pStyle w:val="ListBullet"/>
      </w:pPr>
      <w:r>
        <w:t>暂无。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