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reference_symbol</w:t>
            </w:r>
          </w:p>
        </w:tc>
        <w:tc>
          <w:tcPr>
            <w:tcW w:type="dxa" w:w="4320"/>
          </w:tcPr>
          <w:p>
            <w:r>
              <w:t>600519.SS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</w:tbl>
    <w:p/>
    <w:p>
      <w:pPr>
        <w:pStyle w:val="Heading1"/>
      </w:pPr>
      <w:r>
        <w:t>行业研究报告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IndustryResearchAgent 基于公司主链 artifacts 生成，参考标的为 600519.SS，期间为 2025Q4。</w:t>
      </w:r>
    </w:p>
    <w:p>
      <w:pPr>
        <w:pStyle w:val="ListBullet"/>
      </w:pPr>
      <w:r>
        <w:t>当前可用证据数为 9，其中独立行业/宏观/公司外部证据数为 3；公司报告结论数为 2，公司质量评分为 0.75。[6005192025Q4cninfo4f7e837a05] [6005192025Q4cninfoba21bf4403]</w:t>
      </w:r>
    </w:p>
    <w:p>
      <w:pPr>
        <w:pStyle w:val="Heading2"/>
      </w:pPr>
      <w:r>
        <w:t>行业定位</w:t>
      </w:r>
    </w:p>
    <w:p>
      <w:pPr>
        <w:pStyle w:val="ListBullet"/>
      </w:pPr>
      <w:r>
        <w:t>目标公司位于 未披露板块 / 未披露行业；该定位来自本地 company profile、财务证据或同行上下文。[6005192025Q4cninfo4f7e837a05] [6005192025Q4cninfoba21bf4403]</w:t>
      </w:r>
    </w:p>
    <w:p>
      <w:pPr>
        <w:pStyle w:val="ListBullet"/>
      </w:pPr>
      <w:r>
        <w:t>独立证据已接入时，本节优先使用 SEC、官方统计、政策或行业权威来源补强行业定位；未命中的行业事实仍保持为公司主链衍生判断。[blscuur0000sa02026M04] [blslns140000002026M04]</w:t>
      </w:r>
    </w:p>
    <w:p>
      <w:pPr>
        <w:pStyle w:val="Heading2"/>
      </w:pPr>
      <w:r>
        <w:t>竞争格局</w:t>
      </w:r>
    </w:p>
    <w:p>
      <w:pPr>
        <w:pStyle w:val="ListBullet"/>
      </w:pPr>
      <w:r>
        <w:t>当前 peer context 覆盖 0 个可比对象；可用于初步观察相对证据质量、估值和财务指标差异。</w:t>
      </w:r>
    </w:p>
    <w:p>
      <w:pPr>
        <w:pStyle w:val="ListBullet"/>
      </w:pPr>
      <w:r>
        <w:t>对 600519.SS 的竞争判断应优先结合同行指标、业务描述、毛利率、现金流质量和风险信号，而不是单一估值倍数。</w:t>
      </w:r>
    </w:p>
    <w:p>
      <w:pPr>
        <w:pStyle w:val="Heading2"/>
      </w:pPr>
      <w:r>
        <w:t>需求与供给驱动</w:t>
      </w:r>
    </w:p>
    <w:p>
      <w:pPr>
        <w:pStyle w:val="ListBullet"/>
      </w:pPr>
      <w:r>
        <w:t>需求侧重点关注终端市场增速、客户资本开支、产品替代周期和价格弹性。</w:t>
      </w:r>
    </w:p>
    <w:p>
      <w:pPr>
        <w:pStyle w:val="ListBullet"/>
      </w:pPr>
      <w:r>
        <w:t>供给侧重点关注产能、供应链集中度、关键零部件、渠道能力和行业监管变化。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分布：fresh=1, stale=2, unknown=6。</w:t>
      </w:r>
    </w:p>
    <w:p>
      <w:pPr>
        <w:pStyle w:val="ListBullet"/>
      </w:pPr>
      <w:r>
        <w:t>真实边界：已把可获取的独立 SEC/宏观/政策 evidence 纳入本报告，但每条事实仍以 evidenceid、sourcetimestamp 和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当前行业报告会合并公司主链证据与可用独立证据；若独立数据源未返回记录，则不宣称已经具备完整第三方行业数据库能力。</w:t>
      </w:r>
    </w:p>
    <w:p>
      <w:pPr>
        <w:pStyle w:val="ListBullet"/>
      </w:pPr>
      <w:r>
        <w:t>行业景气、竞争强度、技术替代、监管政策、汇率和利率变化都可能改变行业结论。</w:t>
      </w:r>
    </w:p>
    <w:p>
      <w:pPr>
        <w:pStyle w:val="Heading2"/>
      </w:pPr>
      <w:r>
        <w:t>结论</w:t>
      </w:r>
    </w:p>
    <w:p>
      <w:pPr>
        <w:pStyle w:val="ListBullet"/>
      </w:pPr>
      <w:r>
        <w:t>在现有证据边界内，行业研究已从公司主链中抽取出可追溯行业定位、同行覆盖和风险框架；正式投资研究仍需要补充独立行业数据源。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