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600519.SS 公司研究报告</w:t>
      </w:r>
    </w:p>
    <w:tbl>
      <w:tblPr>
        <w:tblW w:type="auto" w:w="0"/>
        <w:tblLook w:firstColumn="1" w:firstRow="1" w:lastColumn="0" w:lastRow="0" w:noHBand="0" w:noVBand="1" w:val="04A0"/>
      </w:tblPr>
      <w:tblGrid>
        <w:gridCol w:w="4320"/>
        <w:gridCol w:w="4320"/>
      </w:tblGrid>
      <w:tr>
        <w:tc>
          <w:tcPr>
            <w:tcW w:type="dxa" w:w="4320"/>
          </w:tcPr>
          <w:p>
            <w:r>
              <w:t>symbol</w:t>
            </w:r>
          </w:p>
        </w:tc>
        <w:tc>
          <w:tcPr>
            <w:tcW w:type="dxa" w:w="4320"/>
          </w:tcPr>
          <w:p>
            <w:r>
              <w:t>600519.SS</w:t>
            </w:r>
          </w:p>
        </w:tc>
      </w:tr>
      <w:tr>
        <w:tc>
          <w:tcPr>
            <w:tcW w:type="dxa" w:w="4320"/>
          </w:tcPr>
          <w:p>
            <w:r>
              <w:t>period</w:t>
            </w:r>
          </w:p>
        </w:tc>
        <w:tc>
          <w:tcPr>
            <w:tcW w:type="dxa" w:w="4320"/>
          </w:tcPr>
          <w:p>
            <w:r>
              <w:t>2025Q4</w:t>
            </w:r>
          </w:p>
        </w:tc>
      </w:tr>
      <w:tr>
        <w:tc>
          <w:tcPr>
            <w:tcW w:type="dxa" w:w="4320"/>
          </w:tcPr>
          <w:p>
            <w:r>
              <w:t>type</w:t>
            </w:r>
          </w:p>
        </w:tc>
        <w:tc>
          <w:tcPr>
            <w:tcW w:type="dxa" w:w="4320"/>
          </w:tcPr>
          <w:p>
            <w:r>
              <w:t>company</w:t>
            </w:r>
          </w:p>
        </w:tc>
      </w:tr>
    </w:tbl>
    <w:p/>
    <w:p>
      <w:r>
        <w:t>好的，这是根据您提供的严格多智能体草稿、证据审计分层和证据摘要，为您生成的2025Q4贵州茅台（600519.SS）研究报告。</w:t>
      </w:r>
    </w:p>
    <w:p>
      <w:r>
        <w:t>---</w:t>
      </w:r>
    </w:p>
    <w:p>
      <w:pPr>
        <w:pStyle w:val="Heading1"/>
      </w:pPr>
      <w:r>
        <w:t>金融研究报告：贵州茅台（600519.SS）</w:t>
      </w:r>
    </w:p>
    <w:p>
      <w:r>
        <w:t>报告覆盖期：2025年第四季度及近期</w:t>
      </w:r>
    </w:p>
    <w:p>
      <w:r>
        <w:t>生成系统：Open DeepReport++ 多智能体系统</w:t>
      </w:r>
    </w:p>
    <w:p>
      <w:pPr>
        <w:pStyle w:val="Heading2"/>
      </w:pPr>
      <w:r>
        <w:t>执行摘要</w:t>
      </w:r>
    </w:p>
    <w:p>
      <w:r>
        <w:t>本报告基于6条结构化证据（涵盖4类来源）对贵州茅台进行分析。其中，经审计验证的结论共2条，主要引用自其2025年年报、2026年一季报及东方财富财务数据表。</w:t>
      </w:r>
    </w:p>
    <w:p>
      <w:r>
        <w:t>核心已验证信息显示：</w:t>
      </w:r>
    </w:p>
    <w:p>
      <w:pPr>
        <w:pStyle w:val="ListBullet"/>
      </w:pPr>
      <w:r>
        <w:t>公司于2026年第一季度实现营业收入约547.03亿元，归属于母公司股东的净利润约272.43亿元。</w:t>
      </w:r>
    </w:p>
    <w:p>
      <w:r>
        <w:t>待进一步验证的领域：本报告未对公司的战略规划、股权结构、估值水平及具体风险敞口形成可被证据支持的结论，相关部分已标注为“待补证”。</w:t>
      </w:r>
    </w:p>
    <w:p>
      <w:pPr>
        <w:pStyle w:val="Heading2"/>
      </w:pPr>
      <w:r>
        <w:t>1. 业务概览</w:t>
      </w:r>
    </w:p>
    <w:p>
      <w:pPr>
        <w:pStyle w:val="ListBullet"/>
      </w:pPr>
      <w:r>
        <w:t>已验证结论：本次分析的证据覆盖共6条记录，横跨4类来源，包括公司官方公告（巨潮资讯、上交所）、财务数据终端（东方财富）及市场数据（雅虎财经）。</w:t>
      </w:r>
    </w:p>
    <w:p>
      <w:pPr>
        <w:pStyle w:val="ListBullet"/>
      </w:pPr>
      <w:r>
        <w:t>证据ID: 600519.SS2025Q4yahoofinancedf36f6f3cb, 6005192025Q4cninfo4f7e837a05, 6005192025Q4cninfoba21bf4403, 6005192025Q4eastmoneyfinancialsincome1fd3a55f5e, 6005192025Q4sseannouncement31b32e0e85, 6005192025Q4sseannouncementdd6d78b4e1</w:t>
      </w:r>
    </w:p>
    <w:p>
      <w:pPr>
        <w:pStyle w:val="ListBullet"/>
      </w:pPr>
      <w:r>
        <w:t>置信度: 0.76</w:t>
      </w:r>
    </w:p>
    <w:p>
      <w:pPr>
        <w:pStyle w:val="ListBullet"/>
      </w:pPr>
      <w:r>
        <w:t>待补证：对公司主要业务板块（如茅台酒、系列酒）的营收构成及市场份额的分析，目前缺乏直接证据支持。</w:t>
      </w:r>
    </w:p>
    <w:p>
      <w:pPr>
        <w:pStyle w:val="Heading2"/>
      </w:pPr>
      <w:r>
        <w:t>2. 股权结构与公司治理</w:t>
      </w:r>
    </w:p>
    <w:p>
      <w:pPr>
        <w:pStyle w:val="ListBullet"/>
      </w:pPr>
      <w:r>
        <w:t>待补证: 无法从现有证据中提取截至报告期的前十大股东持股比例、管理层变动或关联交易等信息。</w:t>
      </w:r>
    </w:p>
    <w:p>
      <w:pPr>
        <w:pStyle w:val="Heading2"/>
      </w:pPr>
      <w:r>
        <w:t>3. 战略与主营业务</w:t>
      </w:r>
    </w:p>
    <w:p>
      <w:pPr>
        <w:pStyle w:val="ListBullet"/>
      </w:pPr>
      <w:r>
        <w:t>待补证: 对于公司近期的渠道改革、产品结构升级、直销策略等市场关注的重点战略方向，现有数据未能提供有效支撑。</w:t>
      </w:r>
    </w:p>
    <w:p>
      <w:pPr>
        <w:pStyle w:val="Heading2"/>
      </w:pPr>
      <w:r>
        <w:t>4. 三表摘要</w:t>
      </w:r>
    </w:p>
    <w:p>
      <w:pPr>
        <w:pStyle w:val="ListBullet"/>
      </w:pPr>
      <w:r>
        <w:t>已验证结论:</w:t>
      </w:r>
    </w:p>
    <w:p>
      <w:pPr>
        <w:pStyle w:val="ListBullet"/>
      </w:pPr>
      <w:r>
        <w:t>根据东方财富财务表，公司在2026年第一季度（截至2026-03-31）实现营业收入约 5.47e+10 元（即547.03亿元）。</w:t>
      </w:r>
    </w:p>
    <w:p>
      <w:pPr>
        <w:pStyle w:val="ListBullet"/>
      </w:pPr>
      <w:r>
        <w:t>实现归属于母公司股东的净利润约 2.72e+10 元（即272.43亿元）。</w:t>
      </w:r>
    </w:p>
    <w:p>
      <w:pPr>
        <w:pStyle w:val="ListBullet"/>
      </w:pPr>
      <w:r>
        <w:t>证据ID: 6005192025Q4eastmoneyfinancialsincome1fd3a55f5e</w:t>
      </w:r>
    </w:p>
    <w:p>
      <w:pPr>
        <w:pStyle w:val="ListBullet"/>
      </w:pPr>
      <w:r>
        <w:t>置信度: 0.80</w:t>
      </w:r>
    </w:p>
    <w:p>
      <w:pPr>
        <w:pStyle w:val="ListBullet"/>
      </w:pPr>
      <w:r>
        <w:t>待补证: 资产负债表、现金流量表的关键数据，如总资产、经营现金流等，因无明确证据引用，无法在本报告中呈现。</w:t>
      </w:r>
    </w:p>
    <w:p>
      <w:pPr>
        <w:pStyle w:val="Heading2"/>
      </w:pPr>
      <w:r>
        <w:t>5. 财务分析</w:t>
      </w:r>
    </w:p>
    <w:p>
      <w:pPr>
        <w:pStyle w:val="ListBullet"/>
      </w:pPr>
      <w:r>
        <w:t>待补证: 无法基于现有证据进行盈利能力（如毛利率、净利率变化趋势）、运营效率（如存货周转率）及偿债能力（如资产负债率）的深入同比或环比分析。</w:t>
      </w:r>
    </w:p>
    <w:p>
      <w:pPr>
        <w:pStyle w:val="Heading2"/>
      </w:pPr>
      <w:r>
        <w:t>6. 同行对比</w:t>
      </w:r>
    </w:p>
    <w:p>
      <w:pPr>
        <w:pStyle w:val="ListBullet"/>
      </w:pPr>
      <w:r>
        <w:t>待补证: 本报告不包含与五粮液、泸州老窖等同行业公司的营收、利润或估值水平的对比分析。</w:t>
      </w:r>
    </w:p>
    <w:p>
      <w:pPr>
        <w:pStyle w:val="Heading2"/>
      </w:pPr>
      <w:r>
        <w:t>7. 估值观察</w:t>
      </w:r>
    </w:p>
    <w:p>
      <w:pPr>
        <w:pStyle w:val="ListBullet"/>
      </w:pPr>
      <w:r>
        <w:t>待补证: 无法基于现有证据提供市盈率（PE）、市净率（PB）等估值指标或相应的历史分位数分析。</w:t>
      </w:r>
    </w:p>
    <w:p>
      <w:pPr>
        <w:pStyle w:val="Heading2"/>
      </w:pPr>
      <w:r>
        <w:t>8. 估值敏感性</w:t>
      </w:r>
    </w:p>
    <w:p>
      <w:pPr>
        <w:pStyle w:val="ListBullet"/>
      </w:pPr>
      <w:r>
        <w:t>待补证: 未进行任何基于增长预期或折现率的估值敏感性分析。</w:t>
      </w:r>
    </w:p>
    <w:p>
      <w:pPr>
        <w:pStyle w:val="Heading2"/>
      </w:pPr>
      <w:r>
        <w:t>9. 风险评估</w:t>
      </w:r>
    </w:p>
    <w:p>
      <w:pPr>
        <w:pStyle w:val="ListBullet"/>
      </w:pPr>
      <w:r>
        <w:t>待补证: 本报告未识别并讨论具体的公司或行业风险，如宏观经济波动影响、食品安全标准变化或市场政策调整。</w:t>
      </w:r>
    </w:p>
    <w:p>
      <w:pPr>
        <w:pStyle w:val="Heading2"/>
      </w:pPr>
      <w:r>
        <w:t>10. 投资结论</w:t>
      </w:r>
    </w:p>
    <w:p>
      <w:pPr>
        <w:pStyle w:val="ListBullet"/>
      </w:pPr>
      <w:r>
        <w:t>待补证: 本报告不对该股票的未来走势作出预测，也不提供买入、卖出或持有评级。</w:t>
      </w:r>
    </w:p>
    <w:p>
      <w:pPr>
        <w:pStyle w:val="Heading2"/>
      </w:pPr>
      <w:r>
        <w:t>11. 图表</w:t>
      </w:r>
    </w:p>
    <w:p>
      <w:r>
        <w:t>以下图表由系统根据本次分析结果自动生成。</w:t>
      </w:r>
    </w:p>
    <w:p>
      <w:pPr>
        <w:pStyle w:val="ListBullet"/>
      </w:pPr>
      <w:r>
        <w:t>关键指标: 展示了已验证的营业收入与净利润数据。</w:t>
      </w:r>
    </w:p>
    <w:p>
      <w:pPr>
        <w:pStyle w:val="ListBullet"/>
      </w:pPr>
      <w:r>
        <w:t>!关键指标 (evaloutputs/apivalidation20260516600519SSashareofficialv2/company/outputs/charts/keymetricsbar.png)</w:t>
      </w:r>
    </w:p>
    <w:p>
      <w:pPr>
        <w:pStyle w:val="ListBullet"/>
      </w:pPr>
      <w:r>
        <w:t>结论置信度: 展示了已验证结论的置信度分数。</w:t>
      </w:r>
    </w:p>
    <w:p>
      <w:pPr>
        <w:pStyle w:val="ListBullet"/>
      </w:pPr>
      <w:r>
        <w:t>!结论置信度 (evaloutputs/apivalidation20260516600519SSashareofficialv2/company/outputs/charts/claimconfidencebar.png)</w:t>
      </w:r>
    </w:p>
    <w:p>
      <w:pPr>
        <w:pStyle w:val="ListBullet"/>
      </w:pPr>
      <w:r>
        <w:t>证据来源结构: 展示了本报告所引用的证据来源分布。</w:t>
      </w:r>
    </w:p>
    <w:p>
      <w:pPr>
        <w:pStyle w:val="ListBullet"/>
      </w:pPr>
      <w:r>
        <w:t>!证据来源结构 (evaloutputs/apivalidation20260516600519SSashareofficialv2/company/outputs/charts/evidencesourcemix.png)</w:t>
      </w:r>
    </w:p>
    <w:p>
      <w:pPr>
        <w:pStyle w:val="Heading2"/>
      </w:pPr>
      <w:r>
        <w:t>12. 参考来源</w:t>
      </w:r>
    </w:p>
    <w:p>
      <w:r>
        <w:t>| 证据ID | 来源类型 | 标题 | 支持结论 |</w:t>
      </w:r>
    </w:p>
    <w:p>
      <w:r>
        <w:t>| :--- | :--- | :--- | :--- |</w:t>
      </w:r>
    </w:p>
    <w:p>
      <w:r>
        <w:t>| 6005192025Q4eastmoneyfinancialsincome1fd3a55f5e | 财务数据 (东方财富) | 600519东方财富利润表 | cl0001, cl0002 |</w:t>
      </w:r>
    </w:p>
    <w:p>
      <w:r>
        <w:t>| 600519.SS2025Q4yahoofinancedf36f6f3cb | 市场数据 (雅虎财经) | 600519.SS雅虎财经市场快照 | cl0002 |</w:t>
      </w:r>
    </w:p>
    <w:p>
      <w:r>
        <w:t>| 6005192025Q4cninfo4f7e837a05 | 官方公告 (巨潮资讯) | 贵州茅台2026年第一季度报告 | cl0002 |</w:t>
      </w:r>
    </w:p>
    <w:p>
      <w:r>
        <w:t>| 6005192025Q4cninfoba21bf4403 | 官方公告 (巨潮资讯) | 贵州茅台2025年年度报告 | cl0002 |</w:t>
      </w:r>
    </w:p>
    <w:p>
      <w:r>
        <w:t>| 6005192025Q4sseannouncement31b32e0e85 | 官方公告 (上交所) | 贵州茅台2025年年度报告 | cl0002 |</w:t>
      </w:r>
    </w:p>
    <w:p>
      <w:r>
        <w:t>| 6005192025Q4sseannouncementdd6d78b4e1 | 官方公告 (上交所) | 贵州茅台2026年第一季度报告 | cl0002 |</w:t>
      </w:r>
    </w:p>
    <w:p>
      <w:pPr>
        <w:pStyle w:val="Heading2"/>
      </w:pPr>
      <w:r>
        <w:t>13. 附录：证据审计分层</w:t>
      </w:r>
    </w:p>
    <w:p>
      <w:r>
        <w:t>本报告遵循严格的事实性审计。所有观点均基于所提供的证据，并分层显示如下：</w:t>
      </w:r>
    </w:p>
    <w:p>
      <w:r>
        <w:t>| 分层 | 结论ID | 结论摘要 | 证据ID | 置信度 |</w:t>
      </w:r>
    </w:p>
    <w:p>
      <w:r>
        <w:t>| :--- | :--- | :--- | :--- | :--- |</w:t>
      </w:r>
    </w:p>
    <w:p>
      <w:r>
        <w:t>| ✅ 已证实 | cl0001 | 2026Q1营收547.03亿元，净利润272.43亿元 | 6005192025Q4eastmoneyfinancialsincome1fd3a55f5e | 0.80 |</w:t>
      </w:r>
    </w:p>
    <w:p>
      <w:r>
        <w:t>| | cl0002 | 证据覆盖6条记录，横跨4类来源 | 共6条，见参考来源表 | 0.76 |</w:t>
      </w:r>
    </w:p>
    <w:p>
      <w:r>
        <w:t>| ⚠️ 待补证 | - | 所有未在核心章节（1-10）中明确标记的陈述均在此列，包括但不限于：战略分析、竞争格局、估值、风险、投资评级。 | 无 | - |</w:t>
      </w:r>
    </w:p>
    <w:p>
      <w:r>
        <w:t>| 🚫 不支持 | - | 无 | - | - |</w:t>
      </w:r>
    </w:p>
    <w:p>
      <w:pPr>
        <w:pStyle w:val="Heading2"/>
      </w:pPr>
      <w:r>
        <w:t>14. 合规披露与风险提示</w:t>
      </w:r>
    </w:p>
    <w:p>
      <w:pPr>
        <w:pStyle w:val="ListBullet"/>
      </w:pPr>
      <w:r>
        <w:t>投资评级：未评级。本报告不构成买入、卖出或持有任何证券的直接或间接建议。</w:t>
      </w:r>
    </w:p>
    <w:p>
      <w:pPr>
        <w:pStyle w:val="ListBullet"/>
      </w:pPr>
      <w:r>
        <w:t>资料来源：本报告结构化引用共6条，来源分布为：官方公告（cninfo &amp; sse）4条、市场数据（yahoo finance）1条、财务数据（东方财富）1条。</w:t>
      </w:r>
    </w:p>
    <w:p>
      <w:pPr>
        <w:pStyle w:val="ListBullet"/>
      </w:pPr>
      <w:r>
        <w:t>风险提示：市场波动、宏观政策变化、行业竞争、公司经营、数据延迟或第三方数据错误均可能影响本报告基于局限数据所得出的不完整结论。</w:t>
      </w:r>
    </w:p>
    <w:p>
      <w:pPr>
        <w:pStyle w:val="ListBullet"/>
      </w:pPr>
      <w:r>
        <w:t>利益冲突声明：本系统未接入作者持仓、投行业务或客户交易信息；如用于正式发布，应由持牌机构补充人工复核和利益冲突披露。</w:t>
      </w:r>
    </w:p>
    <w:p>
      <w:pPr>
        <w:pStyle w:val="ListBullet"/>
      </w:pPr>
      <w:r>
        <w:t>使用限制：本报告由多智能体系统基于可用公开资料和本地数据自动生成，仅供研究和技术验证参考。报告的绝大部分内容因缺乏直接证据而处于“待补证”状态，用户不应据此作出任何投资决策。</w:t>
      </w:r>
    </w:p>
    <w:p>
      <w:pPr>
        <w:pStyle w:val="Heading2"/>
      </w:pPr>
      <w:r>
        <w:t>证据审计分层</w:t>
      </w:r>
    </w:p>
    <w:p>
      <w:pPr>
        <w:pStyle w:val="Heading3"/>
      </w:pPr>
      <w:r>
        <w:t>已证实</w:t>
      </w:r>
    </w:p>
    <w:p>
      <w:pPr>
        <w:pStyle w:val="ListBullet"/>
      </w:pPr>
      <w:r>
        <w:t>600519.SS 东方财富财务表显示，2026-03-31 00:00:00 营业收入约为 5.47029e+10，净利润约为 2.72425e+10。 [6005192025Q4eastmoneyfinancialsincome1fd3a55f5e]</w:t>
      </w:r>
    </w:p>
    <w:p>
      <w:pPr>
        <w:pStyle w:val="ListBullet"/>
      </w:pPr>
      <w:r>
        <w:t>600519.SS 的证据覆盖包括 6 条记录，横跨 4 类来源。 [600519.SS2025Q4yahoofinancedf36f6f3cb, 6005192025Q4cninfo4f7e837a05, 6005192025Q4cninfoba21bf4403, 6005192025Q4eastmoneyfinancialsincome1fd3a55f5e, 6005192025Q4sseannouncement31b32e0e85, 6005192025Q4sseannouncementdd6d78b4e1]</w:t>
      </w:r>
    </w:p>
    <w:p>
      <w:pPr>
        <w:pStyle w:val="Heading3"/>
      </w:pPr>
      <w:r>
        <w:t>待补证</w:t>
      </w:r>
    </w:p>
    <w:p>
      <w:pPr>
        <w:pStyle w:val="ListBullet"/>
      </w:pPr>
      <w:r>
        <w:t>暂无。</w:t>
      </w:r>
    </w:p>
    <w:p>
      <w:pPr>
        <w:pStyle w:val="Heading3"/>
      </w:pPr>
      <w:r>
        <w:t>不支持</w:t>
      </w:r>
    </w:p>
    <w:p>
      <w:pPr>
        <w:pStyle w:val="ListBullet"/>
      </w:pPr>
      <w:r>
        <w:t>暂无。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