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AMD 公司研究报告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AMD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company</w:t>
            </w:r>
          </w:p>
        </w:tc>
      </w:tr>
    </w:tbl>
    <w:p/>
    <w:p>
      <w:r>
        <w:t>好的，遵照您的指示。我将基于您提供的严格草案、证据桶和摘要，生成一份内容较丰富但严格遵循证据审计分层的研报。所有事实性数字和结论都将明确标注其来源和可信度。</w:t>
      </w:r>
    </w:p>
    <w:p>
      <w:r>
        <w:t>---</w:t>
      </w:r>
    </w:p>
    <w:p>
      <w:pPr>
        <w:pStyle w:val="Heading1"/>
      </w:pPr>
      <w:r>
        <w:t>AMD 2025Q4 财务表现研究报告</w:t>
      </w:r>
    </w:p>
    <w:p>
      <w:r>
        <w:t>报告生成时间: 2026-05-16</w:t>
      </w:r>
    </w:p>
    <w:p>
      <w:r>
        <w:t>分析师: baselinedeepseekworkflow (多智能体系统)</w:t>
      </w:r>
    </w:p>
    <w:p>
      <w:r>
        <w:t>审计状态: 已完成</w:t>
      </w:r>
    </w:p>
    <w:p>
      <w:r>
        <w:t>---</w:t>
      </w:r>
    </w:p>
    <w:p>
      <w:pPr>
        <w:pStyle w:val="Heading2"/>
      </w:pPr>
      <w:r>
        <w:t>执行摘要</w:t>
      </w:r>
    </w:p>
    <w:p>
      <w:pPr>
        <w:pStyle w:val="Heading3"/>
      </w:pPr>
      <w:r>
        <w:t>已证实</w:t>
      </w:r>
    </w:p>
    <w:p>
      <w:r>
        <w:t>根据当前可用的审计证据，本报告的核心结论均基于官方或市场数据源。AMD在最新一个报告期（截止2025年3月29日）的财务表现如下：</w:t>
      </w:r>
    </w:p>
    <w:p>
      <w:pPr>
        <w:pStyle w:val="ListBullet"/>
      </w:pPr>
      <w:r>
        <w:t>收入: 约 74.4亿 美元，反映了公司核心业务在当季的创收能力。</w:t>
      </w:r>
    </w:p>
    <w:p>
      <w:pPr>
        <w:pStyle w:val="ListBullet"/>
      </w:pPr>
      <w:r>
        <w:t>净利润: 约 7.09亿 美元，显示了公司在成本控制和盈利能力上的表现。</w:t>
      </w:r>
    </w:p>
    <w:p>
      <w:pPr>
        <w:pStyle w:val="ListBullet"/>
      </w:pPr>
      <w:r>
        <w:t>资产负债表: 总资产约为 769.3亿 美元，其中现金及等价物约为 55.4亿 美元，表明公司具备较强的流动性和财务基础。</w:t>
      </w:r>
    </w:p>
    <w:p>
      <w:r>
        <w:t>此外，市场数据提供了当前估值的参考，但未纳入正式审计结论。</w:t>
      </w:r>
    </w:p>
    <w:p>
      <w:pPr>
        <w:pStyle w:val="Heading3"/>
      </w:pPr>
      <w:r>
        <w:t>待补证</w:t>
      </w:r>
    </w:p>
    <w:p>
      <w:r>
        <w:t>本节无待补证内容。</w:t>
      </w:r>
    </w:p>
    <w:p>
      <w:pPr>
        <w:pStyle w:val="Heading3"/>
      </w:pPr>
      <w:r>
        <w:t>不支持</w:t>
      </w:r>
    </w:p>
    <w:p>
      <w:r>
        <w:t>本节无不支持内容。</w:t>
      </w:r>
    </w:p>
    <w:p>
      <w:r>
        <w:t>---</w:t>
      </w:r>
    </w:p>
    <w:p>
      <w:pPr>
        <w:pStyle w:val="Heading2"/>
      </w:pPr>
      <w:r>
        <w:t>财务概览与业绩分析</w:t>
      </w:r>
    </w:p>
    <w:p>
      <w:pPr>
        <w:pStyle w:val="Heading3"/>
      </w:pPr>
      <w:r>
        <w:t>已证实</w:t>
      </w:r>
    </w:p>
    <w:p>
      <w:pPr>
        <w:pStyle w:val="Heading4"/>
      </w:pPr>
      <w:r>
        <w:t>1. 收入表现 (Revenue)</w:t>
      </w:r>
    </w:p>
    <w:p>
      <w:r>
        <w:t>根据美国证券交易委员会（SEC）官方数据，AMD在截至 2025年3月29日 的季度中，确认的收入（RevenueFromContractWithCustomerExcludingAssessedTax）为 74.38亿 美元 [来源: seccompanyfactsamddd3c591fa4]。该数据是评估公司当期经营规模的核心指标。</w:t>
      </w:r>
    </w:p>
    <w:p>
      <w:pPr>
        <w:pStyle w:val="Heading4"/>
      </w:pPr>
      <w:r>
        <w:t>2. 盈利能力 (Profitability)</w:t>
      </w:r>
    </w:p>
    <w:p>
      <w:r>
        <w:t>同期的净利润（NetIncomeLoss）为 7.09亿 美元 [来源: seccompanyfactsamddd3c591fa4]。这表明公司在当季实现了约 9.5% 的净利润率（计算值，非直接引用）。</w:t>
      </w:r>
    </w:p>
    <w:p>
      <w:pPr>
        <w:pStyle w:val="Heading4"/>
      </w:pPr>
      <w:r>
        <w:t>3. 资产与流动性 (Assets &amp; Liquidity)</w:t>
      </w:r>
    </w:p>
    <w:p>
      <w:r>
        <w:t>截至 2025年12月27日 的资产负债表显示：</w:t>
      </w:r>
    </w:p>
    <w:p>
      <w:pPr>
        <w:pStyle w:val="ListBullet"/>
      </w:pPr>
      <w:r>
        <w:t>总资产: 769.26亿 美元 [来源: seccompanyfactsamddd3c591fa4]。</w:t>
      </w:r>
    </w:p>
    <w:p>
      <w:pPr>
        <w:pStyle w:val="ListBullet"/>
      </w:pPr>
      <w:r>
        <w:t>现金及现金等价物: 55.39亿 美元 [来源: seccompanyfactsamddd3c591fa4]。</w:t>
      </w:r>
    </w:p>
    <w:p>
      <w:r>
        <w:t>这一高额的现金储备为公司未来的研发投入、战略收购或应对市场波动提供了坚实的资金保障。</w:t>
      </w:r>
    </w:p>
    <w:p>
      <w:pPr>
        <w:pStyle w:val="Heading3"/>
      </w:pPr>
      <w:r>
        <w:t>待补证</w:t>
      </w:r>
    </w:p>
    <w:p>
      <w:pPr>
        <w:pStyle w:val="ListBullet"/>
      </w:pPr>
      <w:r>
        <w:t>同比增长分析: 报告中未提供2024年同期的收入或净利润数据进行对比，因此无法评估业绩的同比增长趋势。</w:t>
      </w:r>
    </w:p>
    <w:p>
      <w:pPr>
        <w:pStyle w:val="ListBullet"/>
      </w:pPr>
      <w:r>
        <w:t>费用结构: 缺乏关于研发、销售、管理及一般费用（SG&amp;A）的详细数据，无法深入分析利润驱动因素。</w:t>
      </w:r>
    </w:p>
    <w:p>
      <w:pPr>
        <w:pStyle w:val="ListBullet"/>
      </w:pPr>
      <w:r>
        <w:t>现金流状况: 缺少经营活动、投资活动和筹资活动的现金流数据，无法评估公司的现金生成能力和资金使用情况。</w:t>
      </w:r>
    </w:p>
    <w:p>
      <w:pPr>
        <w:pStyle w:val="Heading3"/>
      </w:pPr>
      <w:r>
        <w:t>不支持</w:t>
      </w:r>
    </w:p>
    <w:p>
      <w:r>
        <w:t>本节无基于现有证据的不支持内容。</w:t>
      </w:r>
    </w:p>
    <w:p>
      <w:r>
        <w:t>---</w:t>
      </w:r>
    </w:p>
    <w:p>
      <w:pPr>
        <w:pStyle w:val="Heading2"/>
      </w:pPr>
      <w:r>
        <w:t>市场估值与宏观语境</w:t>
      </w:r>
    </w:p>
    <w:p>
      <w:pPr>
        <w:pStyle w:val="Heading3"/>
      </w:pPr>
      <w:r>
        <w:t>已证实</w:t>
      </w:r>
    </w:p>
    <w:p>
      <w:pPr>
        <w:pStyle w:val="ListBullet"/>
      </w:pPr>
      <w:r>
        <w:t>市场估值行为参考: 根据雅虎财经市场数据，AMD股票（AMD）的最近收盘价为 424.10 美元，上一个收盘价为 258.12 美元，一个月内价格变动为 +52.41% [来源: AMD2025Q4yahoofinance2b270b09c4]。注意：此数据反映了市场情绪和交易活动，并非对内在价值的审计结论。</w:t>
      </w:r>
    </w:p>
    <w:p>
      <w:pPr>
        <w:pStyle w:val="ListBullet"/>
      </w:pPr>
      <w:r>
        <w:t>宏观语境参考: 美国劳工统计局（BLS）数据显示，2026年4月消费者价格指数（CPI-U，CUUR0000SA0）为 333.020 [来源: blscuur0000sa02026M04]。此数据可用于评估当前宏观通胀环境。</w:t>
      </w:r>
    </w:p>
    <w:p>
      <w:pPr>
        <w:pStyle w:val="Heading3"/>
      </w:pPr>
      <w:r>
        <w:t>待补证</w:t>
      </w:r>
    </w:p>
    <w:p>
      <w:pPr>
        <w:pStyle w:val="ListBullet"/>
      </w:pPr>
      <w:r>
        <w:t>估值模型: 未提供任何基于DCF、市盈率（P/E）、市销率（P/S）等定量模型对公司内在价值的评估结论。</w:t>
      </w:r>
    </w:p>
    <w:p>
      <w:pPr>
        <w:pStyle w:val="ListBullet"/>
      </w:pPr>
      <w:r>
        <w:t>增长驱动: 缺少关于数据中心、客户端、游戏、嵌入式等各业务部门的收入细分数据，无法评估其增长引擎。</w:t>
      </w:r>
    </w:p>
    <w:p>
      <w:pPr>
        <w:pStyle w:val="ListBullet"/>
      </w:pPr>
      <w:r>
        <w:t>风险敞口: 未量化分析公司面临的特定风险，如供应链中断、市场竞争加剧或技术迭代风险。</w:t>
      </w:r>
    </w:p>
    <w:p>
      <w:pPr>
        <w:pStyle w:val="Heading3"/>
      </w:pPr>
      <w:r>
        <w:t>不支持</w:t>
      </w:r>
    </w:p>
    <w:p>
      <w:pPr>
        <w:pStyle w:val="ListBullet"/>
      </w:pPr>
      <w:r>
        <w:t>结论性投资建议: 报告中 不支持 任何买入、持有或卖出的直接投资建议。本报告是事实与数据的结构化呈现。</w:t>
      </w:r>
    </w:p>
    <w:p>
      <w:r>
        <w:t>---</w:t>
      </w:r>
    </w:p>
    <w:p>
      <w:pPr>
        <w:pStyle w:val="Heading2"/>
      </w:pPr>
      <w:r>
        <w:t>证据审计分层</w:t>
      </w:r>
    </w:p>
    <w:p>
      <w:r>
        <w:t>以下是所有结论的审计分类、文本内容和来源。</w:t>
      </w:r>
    </w:p>
    <w:p>
      <w:r>
        <w:t>| 审计分类 | 结论ID | 结论文本 | 来源快照 |</w:t>
      </w:r>
    </w:p>
    <w:p>
      <w:r>
        <w:t>| :--- | :--- | :--- | :--- |</w:t>
      </w:r>
    </w:p>
    <w:p>
      <w:r>
        <w:t>| 已证实 | cl0001 | AMD最新可用收入指标约为 7.44B 美元，期间截止 2025-03-29。 | seccompanyfactsamddd3c591fa4 |</w:t>
      </w:r>
    </w:p>
    <w:p>
      <w:r>
        <w:t>| 已证实 | cl0002 | AMD最新可用净利润指标约为 709.00M 美元，期间截止 2025-03-29。 | seccompanyfactsamddd3c591fa4 |</w:t>
      </w:r>
    </w:p>
    <w:p>
      <w:r>
        <w:t>| 已证实 | cl0003 | AMD资产负债表指标显示，资产约为 76.93B 美元，现金及等价物约为 5.54B 美元。 | seccompanyfactsamddd3c591fa4 |</w:t>
      </w:r>
    </w:p>
    <w:p>
      <w:r>
        <w:t>| 已证实 | cl0004 | [宏观引用] BLS CPI-U指数最新观测值为 333.020，覆盖了宏观环境。 | blscuur0000sa02026M04 |</w:t>
      </w:r>
    </w:p>
    <w:p>
      <w:r>
        <w:t>| 已证实 | cl0005 | [市场数据] 公司证据覆盖涵盖Yahoo Finance市场数据。</w:t>
      </w:r>
    </w:p>
    <w:p>
      <w:pPr>
        <w:pStyle w:val="Heading2"/>
      </w:pPr>
      <w:r>
        <w:t>图表</w:t>
      </w:r>
    </w:p>
    <w:p>
      <w:r>
        <w:t>图表：关键指标 (eval_outputs/api_validation_20260516_AMD_deepseek_broadened_v2/company/outputs/charts/key_metrics_bar.png)</w:t>
      </w:r>
    </w:p>
    <w:p>
      <w:r>
        <w:t>图1：基于SEC数据的关键财务指标可视化。</w:t>
      </w:r>
    </w:p>
    <w:p>
      <w:r>
        <w:t>图表：结论置信度 (eval_outputs/api_validation_20260516_AMD_deepseek_broadened_v2/company/outputs/charts/claim_confidence_bar.png)</w:t>
      </w:r>
    </w:p>
    <w:p>
      <w:r>
        <w:t>图2：已证实结论的置信度分布。</w:t>
      </w:r>
    </w:p>
    <w:p>
      <w:r>
        <w:t>图表：证据来源结构 (eval_outputs/api_validation_20260516_AMD_deepseek_broadened_v2/company/outputs/charts/evidence_source_mix.png)</w:t>
      </w:r>
    </w:p>
    <w:p>
      <w:r>
        <w:t>图3：支持结论的证据来源类型分布。</w:t>
      </w:r>
    </w:p>
    <w:p>
      <w:r>
        <w:t>---</w:t>
      </w:r>
    </w:p>
    <w:p>
      <w:pPr>
        <w:pStyle w:val="Heading2"/>
      </w:pPr>
      <w:r>
        <w:t>参考来源</w:t>
      </w:r>
    </w:p>
    <w:p>
      <w:pPr>
        <w:pStyle w:val="ListNumber"/>
      </w:pPr>
      <w:r>
        <w:t>seccompanyfactsamddd3c591fa4: AMD SEC company facts (seccompanyfacts/official, 2026-05-06) - 链接 (https://data.sec.gov/api/xbrl/companyfacts/CIK0000002488.json)</w:t>
      </w:r>
    </w:p>
    <w:p>
      <w:pPr>
        <w:pStyle w:val="ListBullet"/>
      </w:pPr>
      <w:r>
        <w:t>支持结论: cl0001, cl0002, cl0003</w:t>
      </w:r>
    </w:p>
    <w:p>
      <w:pPr>
        <w:pStyle w:val="ListNumber"/>
      </w:pPr>
      <w:r>
        <w:t>AMD2025Q4yahoofinance2b270b09c4: AMD Yahoo Finance market snapshot (marketapi/marketdata, 2026-05-15) - 链接 (https://finance.yahoo.com/quote/AMD)</w:t>
      </w:r>
    </w:p>
    <w:p>
      <w:pPr>
        <w:pStyle w:val="ListBullet"/>
      </w:pPr>
      <w:r>
        <w:t>支持结论: cl0005</w:t>
      </w:r>
    </w:p>
    <w:p>
      <w:pPr>
        <w:pStyle w:val="ListNumber"/>
      </w:pPr>
      <w:r>
        <w:t>blscuur0000sa02026M04: BLS CUUR0000SA0: Consumer Price Index for All Urban Consumers (blsseries/officialstatistics, 2026-01-01) - 链接 (https://www.bls.gov/developers/apisignaturev2.htm)</w:t>
      </w:r>
    </w:p>
    <w:p>
      <w:pPr>
        <w:pStyle w:val="ListBullet"/>
      </w:pPr>
      <w:r>
        <w:t>支持结论: cl0004</w:t>
      </w:r>
    </w:p>
    <w:p>
      <w:r>
        <w:t>---</w:t>
      </w:r>
    </w:p>
    <w:p>
      <w:pPr>
        <w:pStyle w:val="Heading2"/>
      </w:pPr>
      <w:r>
        <w:t>合规披露与风险提示</w:t>
      </w:r>
    </w:p>
    <w:p>
      <w:pPr>
        <w:pStyle w:val="ListBullet"/>
      </w:pPr>
      <w:r>
        <w:t>投资评级: 未评级。本报告不构成买入、卖出或持有任何证券的直接建议。</w:t>
      </w:r>
    </w:p>
    <w:p>
      <w:pPr>
        <w:pStyle w:val="ListBullet"/>
      </w:pPr>
      <w:r>
        <w:t>资料来源: 结构化引用共 3 条，来源分布：官方 (1)、市场数据 (1)、官方统计 (1)。</w:t>
      </w:r>
    </w:p>
    <w:p>
      <w:pPr>
        <w:pStyle w:val="ListBullet"/>
      </w:pPr>
      <w:r>
        <w:t>风险提示: 市场波动、宏观政策变化、行业竞争、公司经营、汇率与利率变化、数据延迟或第三方数据错误均可能影响结论。</w:t>
      </w:r>
    </w:p>
    <w:p>
      <w:pPr>
        <w:pStyle w:val="ListBullet"/>
      </w:pPr>
      <w:r>
        <w:t>利益冲突声明: 本系统未接入作者持仓、投行业务或客户交易信息；如用于正式发布，应由持牌机构补充人工复核和利益冲突披露。</w:t>
      </w:r>
    </w:p>
    <w:p>
      <w:pPr>
        <w:pStyle w:val="ListBullet"/>
      </w:pPr>
      <w:r>
        <w:t>使用限制: 本报告由多智能体系统基于可用公开资料和本地数据自动生成，仅供研究和技术验证参考。报告中的“待补证”内容不代表将来一定会被证实或证伪。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