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宏观研究报告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macro</w:t>
            </w:r>
          </w:p>
        </w:tc>
      </w:tr>
    </w:tbl>
    <w:p/>
    <w:p>
      <w:pPr>
        <w:pStyle w:val="Heading1"/>
      </w:pPr>
      <w:r>
        <w:t>宏观研究报告</w:t>
      </w:r>
    </w:p>
    <w:p>
      <w:pPr>
        <w:pStyle w:val="Heading2"/>
      </w:pPr>
      <w:r>
        <w:t>执行摘要</w:t>
      </w:r>
    </w:p>
    <w:p>
      <w:pPr>
        <w:pStyle w:val="ListBullet"/>
      </w:pPr>
      <w:r>
        <w:t>本报告由 MacroResearchAgent 基于本地公司主链 artifacts 和可用独立宏观/政策 evidence 生成，覆盖期间为 2025Q4，参考标的为 AMD。</w:t>
      </w:r>
    </w:p>
    <w:p>
      <w:pPr>
        <w:pStyle w:val="ListBullet"/>
      </w:pPr>
      <w:r>
        <w:t>公司报告门禁状态：verification=True，multimodal=True；可用证据数为 7，其中独立宏观/政策/SEC 证据数为 4，结论数为 5。[blscuur0000sa02026M04] [blslns140000002026M04]</w:t>
      </w:r>
    </w:p>
    <w:p>
      <w:pPr>
        <w:pStyle w:val="Heading2"/>
      </w:pPr>
      <w:r>
        <w:t>利率与流动性</w:t>
      </w:r>
    </w:p>
    <w:p>
      <w:pPr>
        <w:pStyle w:val="ListBullet"/>
      </w:pPr>
      <w:r>
        <w:t>利率和流动性通过折现率、风险偏好、融资成本和估值倍数影响股票定价。</w:t>
      </w:r>
    </w:p>
    <w:p>
      <w:pPr>
        <w:pStyle w:val="ListBullet"/>
      </w:pPr>
      <w:r>
        <w:t>若报告对象属于高久期成长股，折现率变化通常会放大估值敏感性；若属于金融机构，则净息差、资产质量和负债成本更关键。[blscuur0000sa02026M04] [blslns140000002026M04]</w:t>
      </w:r>
    </w:p>
    <w:p>
      <w:pPr>
        <w:pStyle w:val="Heading2"/>
      </w:pPr>
      <w:r>
        <w:t>增长、通胀与需求</w:t>
      </w:r>
    </w:p>
    <w:p>
      <w:pPr>
        <w:pStyle w:val="ListBullet"/>
      </w:pPr>
      <w:r>
        <w:t>增长预期影响收入增速和终端需求，通胀影响成本、价格传导和利润率。</w:t>
      </w:r>
    </w:p>
    <w:p>
      <w:pPr>
        <w:pStyle w:val="ListBullet"/>
      </w:pPr>
      <w:r>
        <w:t>对 AMD 的宏观判断应结合公司主链中的收入、毛利率、现金流和风险结论，避免脱离证据进行方向性判断。</w:t>
      </w:r>
    </w:p>
    <w:p>
      <w:pPr>
        <w:pStyle w:val="Heading2"/>
      </w:pPr>
      <w:r>
        <w:t>汇率、政策与风险偏好</w:t>
      </w:r>
    </w:p>
    <w:p>
      <w:pPr>
        <w:pStyle w:val="ListBullet"/>
      </w:pPr>
      <w:r>
        <w:t>跨国收入、供应链和海外成本暴露会放大汇率敏感性；政策变化会影响行业准入、税负、补贴和资本开支周期。</w:t>
      </w:r>
    </w:p>
    <w:p>
      <w:pPr>
        <w:pStyle w:val="ListBullet"/>
      </w:pPr>
      <w:r>
        <w:t>只有当 FRED、BLS、BEA、Federal Reserve 等独立 evidence 返回记录时，报告才引用最新 CPI、就业、利率或政策材料；否则仅保留传导框架。</w:t>
      </w:r>
    </w:p>
    <w:p>
      <w:pPr>
        <w:pStyle w:val="Heading2"/>
      </w:pPr>
      <w:r>
        <w:t>对公司研究的传导</w:t>
      </w:r>
    </w:p>
    <w:p>
      <w:pPr>
        <w:pStyle w:val="ListBullet"/>
      </w:pPr>
      <w:r>
        <w:t>宏观变量主要通过估值模型假设、同行倍数、现金流折现率、收入场景和风险溢价传导到公司结论。</w:t>
      </w:r>
    </w:p>
    <w:p>
      <w:pPr>
        <w:pStyle w:val="ListBullet"/>
      </w:pPr>
      <w:r>
        <w:t>后续若接入权威宏观数据源，可把利率、通胀、汇率、PMI 和政策事件绑定为独立 evidenceid。</w:t>
      </w:r>
    </w:p>
    <w:p>
      <w:pPr>
        <w:pStyle w:val="Heading2"/>
      </w:pPr>
      <w:r>
        <w:t>数据边界与时效</w:t>
      </w:r>
    </w:p>
    <w:p>
      <w:pPr>
        <w:pStyle w:val="ListBullet"/>
      </w:pPr>
      <w:r>
        <w:t>证据 freshness 分布：fresh=4, stale=3。</w:t>
      </w:r>
    </w:p>
    <w:p>
      <w:pPr>
        <w:pStyle w:val="ListBullet"/>
      </w:pPr>
      <w:r>
        <w:t>真实边界：已纳入可获取的 FRED/BLS/BEA/Federal Reserve/SEC 等独立 evidence；每个宏观事实以 evidenceid、sourcetimestamp 与 datacutoff 为准。</w:t>
      </w:r>
    </w:p>
    <w:p>
      <w:pPr>
        <w:pStyle w:val="Heading2"/>
      </w:pPr>
      <w:r>
        <w:t>风险提示</w:t>
      </w:r>
    </w:p>
    <w:p>
      <w:pPr>
        <w:pStyle w:val="ListBullet"/>
      </w:pPr>
      <w:r>
        <w:t>宏观结论以已返回的权威 evidence 和公司主链事实为边界；缺失的实时指标不会被默认补全或推断。</w:t>
      </w:r>
    </w:p>
    <w:p>
      <w:pPr>
        <w:pStyle w:val="ListBullet"/>
      </w:pPr>
      <w:r>
        <w:t>市场风险偏好可能在短期内快速变化，本地模型记忆不能替代实时数据。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