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778D6CF2" w14:textId="17C92E26" w:rsidR="001808B0" w:rsidRDefault="001808B0">
      <w:pPr>
        <w:pStyle w:val="Authors"/>
        <w:framePr w:wrap="notBeside"/>
        <w:rPr>
          <w:kern w:val="28"/>
          <w:sz w:val="48"/>
          <w:szCs w:val="48"/>
          <w:lang w:val="es-AR"/>
        </w:rPr>
      </w:pPr>
      <w:r w:rsidRPr="001808B0">
        <w:rPr>
          <w:kern w:val="28"/>
          <w:sz w:val="48"/>
          <w:szCs w:val="48"/>
          <w:lang w:val="es-AR"/>
        </w:rPr>
        <w:t>Comparación de la capacidad de respuesta de la base de datos</w:t>
      </w:r>
      <w:r>
        <w:rPr>
          <w:kern w:val="28"/>
          <w:sz w:val="48"/>
          <w:szCs w:val="48"/>
          <w:lang w:val="es-AR"/>
        </w:rPr>
        <w:t xml:space="preserve"> </w:t>
      </w:r>
      <w:r w:rsidRPr="001808B0">
        <w:rPr>
          <w:kern w:val="28"/>
          <w:sz w:val="48"/>
          <w:szCs w:val="48"/>
          <w:lang w:val="es-AR"/>
        </w:rPr>
        <w:t xml:space="preserve">(BD) entre los sistemas de BD </w:t>
      </w:r>
      <w:proofErr w:type="spellStart"/>
      <w:r w:rsidR="00485826">
        <w:rPr>
          <w:kern w:val="28"/>
          <w:sz w:val="48"/>
          <w:szCs w:val="48"/>
          <w:lang w:val="es-AR"/>
        </w:rPr>
        <w:t>PostGre</w:t>
      </w:r>
      <w:proofErr w:type="spellEnd"/>
      <w:r w:rsidRPr="001808B0">
        <w:rPr>
          <w:kern w:val="28"/>
          <w:sz w:val="48"/>
          <w:szCs w:val="48"/>
          <w:lang w:val="es-AR"/>
        </w:rPr>
        <w:t xml:space="preserve"> y </w:t>
      </w:r>
      <w:proofErr w:type="spellStart"/>
      <w:r w:rsidR="00485826">
        <w:rPr>
          <w:kern w:val="28"/>
          <w:sz w:val="48"/>
          <w:szCs w:val="48"/>
          <w:lang w:val="es-AR"/>
        </w:rPr>
        <w:t>Elastic</w:t>
      </w:r>
      <w:proofErr w:type="spellEnd"/>
      <w:r w:rsidR="00485826">
        <w:rPr>
          <w:kern w:val="28"/>
          <w:sz w:val="48"/>
          <w:szCs w:val="48"/>
          <w:lang w:val="es-AR"/>
        </w:rPr>
        <w:t xml:space="preserve"> </w:t>
      </w:r>
      <w:proofErr w:type="spellStart"/>
      <w:r w:rsidR="00485826">
        <w:rPr>
          <w:kern w:val="28"/>
          <w:sz w:val="48"/>
          <w:szCs w:val="48"/>
          <w:lang w:val="es-AR"/>
        </w:rPr>
        <w:t>Search</w:t>
      </w:r>
      <w:proofErr w:type="spellEnd"/>
      <w:r w:rsidRPr="001808B0">
        <w:rPr>
          <w:kern w:val="28"/>
          <w:sz w:val="48"/>
          <w:szCs w:val="48"/>
          <w:lang w:val="es-AR"/>
        </w:rPr>
        <w:t xml:space="preserve"> en un entorno </w:t>
      </w:r>
      <w:proofErr w:type="spellStart"/>
      <w:r w:rsidRPr="001808B0">
        <w:rPr>
          <w:kern w:val="28"/>
          <w:sz w:val="48"/>
          <w:szCs w:val="48"/>
          <w:lang w:val="es-AR"/>
        </w:rPr>
        <w:t>Docker</w:t>
      </w:r>
      <w:proofErr w:type="spellEnd"/>
      <w:r w:rsidRPr="001808B0">
        <w:rPr>
          <w:kern w:val="28"/>
          <w:sz w:val="48"/>
          <w:szCs w:val="48"/>
          <w:lang w:val="es-AR"/>
        </w:rPr>
        <w:t>.</w:t>
      </w:r>
    </w:p>
    <w:p w14:paraId="57A655BF" w14:textId="07997EB2" w:rsidR="00E97402" w:rsidRPr="00BD1AC9" w:rsidRDefault="00BD1AC9">
      <w:pPr>
        <w:pStyle w:val="Authors"/>
        <w:framePr w:wrap="notBeside"/>
        <w:rPr>
          <w:lang w:val="es-AR"/>
        </w:rPr>
      </w:pPr>
      <w:r w:rsidRPr="00BD1AC9">
        <w:rPr>
          <w:lang w:val="es-AR"/>
        </w:rPr>
        <w:t>Lic. Jonathan Fernando Romano - Ing. Agr. Juan Manuel Alonso</w:t>
      </w:r>
    </w:p>
    <w:p w14:paraId="23345CB3" w14:textId="1315A948" w:rsidR="00E97402" w:rsidRPr="001808B0" w:rsidRDefault="00B872BA">
      <w:pPr>
        <w:pStyle w:val="Abstract"/>
        <w:rPr>
          <w:lang w:val="es-AR"/>
        </w:rPr>
      </w:pPr>
      <w:r>
        <w:rPr>
          <w:i/>
          <w:iCs/>
          <w:lang w:val="es-AR"/>
        </w:rPr>
        <w:t>Resumen</w:t>
      </w:r>
      <w:r w:rsidR="00E97402" w:rsidRPr="001808B0">
        <w:rPr>
          <w:lang w:val="es-AR"/>
        </w:rPr>
        <w:t>—</w:t>
      </w:r>
      <w:r>
        <w:rPr>
          <w:lang w:val="es-AR"/>
        </w:rPr>
        <w:t>Se analizó</w:t>
      </w:r>
      <w:r w:rsidR="001808B0">
        <w:rPr>
          <w:lang w:val="es-AR"/>
        </w:rPr>
        <w:t xml:space="preserve"> una base de datos de</w:t>
      </w:r>
      <w:r>
        <w:rPr>
          <w:lang w:val="es-AR"/>
        </w:rPr>
        <w:t xml:space="preserve"> 355.000 registros de</w:t>
      </w:r>
      <w:r w:rsidR="001808B0">
        <w:rPr>
          <w:lang w:val="es-AR"/>
        </w:rPr>
        <w:t xml:space="preserve"> Documentos de tránsito </w:t>
      </w:r>
      <w:r>
        <w:rPr>
          <w:lang w:val="es-AR"/>
        </w:rPr>
        <w:t xml:space="preserve">vegetal (DTV-E) </w:t>
      </w:r>
      <w:r w:rsidR="001808B0">
        <w:rPr>
          <w:lang w:val="es-AR"/>
        </w:rPr>
        <w:t xml:space="preserve">emitidos </w:t>
      </w:r>
      <w:r>
        <w:rPr>
          <w:lang w:val="es-AR"/>
        </w:rPr>
        <w:t xml:space="preserve">por el Servicio Nacional de Sanidad y Calidad Agroalimentaria (SENASA) de Argentina </w:t>
      </w:r>
      <w:r w:rsidR="001808B0">
        <w:rPr>
          <w:lang w:val="es-AR"/>
        </w:rPr>
        <w:t xml:space="preserve">para el traslado de </w:t>
      </w:r>
      <w:r>
        <w:rPr>
          <w:lang w:val="es-AR"/>
        </w:rPr>
        <w:t xml:space="preserve">plantas de vivero. Se montó un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en Linux a los efectos de comparar la capacidad de respuesta de los motores de base de datos Mongo y MYSQL en función de consultas de mayor y menor complejidad.</w:t>
      </w:r>
    </w:p>
    <w:p w14:paraId="2AD5107A" w14:textId="77777777" w:rsidR="00E97402" w:rsidRPr="001808B0" w:rsidRDefault="00E97402">
      <w:pPr>
        <w:rPr>
          <w:lang w:val="es-AR"/>
        </w:rPr>
      </w:pPr>
    </w:p>
    <w:p w14:paraId="4AE5DCCE" w14:textId="79E23BA7"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proofErr w:type="gramStart"/>
      <w:r w:rsidR="00D5536F">
        <w:t>Enter</w:t>
      </w:r>
      <w:proofErr w:type="gramEnd"/>
      <w:r w:rsidR="00D5536F">
        <w:t xml:space="preserve"> </w:t>
      </w:r>
      <w:r>
        <w:t xml:space="preserve">key words or phrases in alphabetical order, separated by commas. For a list of suggested keywords, send a blank e-mail to </w:t>
      </w:r>
      <w:hyperlink r:id="rId9" w:history="1">
        <w:r>
          <w:rPr>
            <w:rStyle w:val="Hipervnculo"/>
          </w:rPr>
          <w:t>keywords@ieee.org</w:t>
        </w:r>
      </w:hyperlink>
      <w:r>
        <w:t xml:space="preserve"> or visit </w:t>
      </w:r>
      <w:hyperlink r:id="rId10" w:history="1">
        <w:r w:rsidRPr="00F65266">
          <w:rPr>
            <w:rStyle w:val="Hipervnculo"/>
            <w:b w:val="0"/>
            <w:bCs w:val="0"/>
            <w:szCs w:val="20"/>
          </w:rPr>
          <w:t>http://www.ieee.org/organizations/pubs/ani_prod/keywrd98.txt</w:t>
        </w:r>
      </w:hyperlink>
    </w:p>
    <w:p w14:paraId="6F54A56C" w14:textId="77777777" w:rsidR="00E97402" w:rsidRDefault="00E97402"/>
    <w:bookmarkEnd w:id="0"/>
    <w:p w14:paraId="1D5B113B" w14:textId="4C75596D" w:rsidR="00E97402" w:rsidRDefault="00E97402">
      <w:pPr>
        <w:pStyle w:val="Ttulo1"/>
      </w:pPr>
      <w:r>
        <w:t>I</w:t>
      </w:r>
      <w:r>
        <w:rPr>
          <w:sz w:val="16"/>
          <w:szCs w:val="16"/>
        </w:rPr>
        <w:t>NTRODUC</w:t>
      </w:r>
      <w:r w:rsidR="003C5C71">
        <w:rPr>
          <w:sz w:val="16"/>
          <w:szCs w:val="16"/>
        </w:rPr>
        <w:t>CION</w:t>
      </w:r>
    </w:p>
    <w:p w14:paraId="49B0B49D" w14:textId="451BBBC4" w:rsidR="00E97402" w:rsidRPr="003C6C4F" w:rsidRDefault="003C6C4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AR"/>
        </w:rPr>
      </w:pPr>
      <w:r>
        <w:rPr>
          <w:smallCaps/>
          <w:position w:val="-3"/>
          <w:sz w:val="56"/>
          <w:szCs w:val="56"/>
          <w:lang w:val="es-AR"/>
        </w:rPr>
        <w:t>E</w:t>
      </w:r>
    </w:p>
    <w:p w14:paraId="08EA7BF7" w14:textId="16EF7186" w:rsidR="003C6C4F" w:rsidRDefault="003C6C4F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N el marco del curso de posgrado “Captura y Almacenamiento de información” dictado por la Facultad de </w:t>
      </w:r>
      <w:r w:rsidR="00EE17F9">
        <w:rPr>
          <w:lang w:val="es-AR"/>
        </w:rPr>
        <w:t>Informática</w:t>
      </w:r>
      <w:r>
        <w:rPr>
          <w:lang w:val="es-AR"/>
        </w:rPr>
        <w:t xml:space="preserve"> de la Universidad de La Plata, se </w:t>
      </w:r>
      <w:r w:rsidR="008B7F37">
        <w:rPr>
          <w:lang w:val="es-AR"/>
        </w:rPr>
        <w:t>realizó</w:t>
      </w:r>
      <w:r>
        <w:rPr>
          <w:lang w:val="es-AR"/>
        </w:rPr>
        <w:t xml:space="preserve"> el presente trabajo de investigación a los efectos de aplicar los conocimiento</w:t>
      </w:r>
      <w:r w:rsidR="008B7F37">
        <w:rPr>
          <w:lang w:val="es-AR"/>
        </w:rPr>
        <w:t xml:space="preserve">s adquiridos durante la cursada. En este sentido, se tomó como punto de partida una base de datos del </w:t>
      </w:r>
      <w:r w:rsidR="008B7F37" w:rsidRPr="008B7F37">
        <w:rPr>
          <w:lang w:val="es-AR"/>
        </w:rPr>
        <w:t>Programa Nacional de Sanidad de Material de Propagación del Servicio Nacional de Sanidad y Calidad Agroalimentaria (SENASA)</w:t>
      </w:r>
      <w:r w:rsidR="008B7F37">
        <w:rPr>
          <w:lang w:val="es-AR"/>
        </w:rPr>
        <w:t xml:space="preserve"> perteneciente a movimientos de plantas de vivero del año 2016 a 2021 por todo el territorio nacional argentino. </w:t>
      </w:r>
    </w:p>
    <w:p w14:paraId="685BC989" w14:textId="77777777" w:rsidR="000F3371" w:rsidRDefault="000F3371" w:rsidP="003C6C4F">
      <w:pPr>
        <w:pStyle w:val="Text"/>
        <w:ind w:firstLine="0"/>
        <w:rPr>
          <w:lang w:val="es-AR"/>
        </w:rPr>
      </w:pPr>
    </w:p>
    <w:p w14:paraId="244F8721" w14:textId="57A01A94" w:rsidR="000F3371" w:rsidRDefault="00EE17F9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</w:p>
    <w:p w14:paraId="68CC43DD" w14:textId="77777777" w:rsidR="008B7F37" w:rsidRPr="00C06F97" w:rsidRDefault="008B7F37" w:rsidP="008B7F37">
      <w:pPr>
        <w:pStyle w:val="Text"/>
        <w:ind w:firstLine="144"/>
      </w:pPr>
    </w:p>
    <w:p w14:paraId="2366501B" w14:textId="36A19397" w:rsidR="00E97B99" w:rsidRDefault="000F171C" w:rsidP="00E97B99">
      <w:pPr>
        <w:pStyle w:val="Ttulo1"/>
      </w:pPr>
      <w:r>
        <w:t>OBJETIVO</w:t>
      </w:r>
    </w:p>
    <w:p w14:paraId="271BE670" w14:textId="18CBE2BF" w:rsidR="00E27600" w:rsidRDefault="00E27600" w:rsidP="00E27600">
      <w:pPr>
        <w:pStyle w:val="Text"/>
        <w:rPr>
          <w:lang w:val="es-AR"/>
        </w:rPr>
      </w:pPr>
      <w:r w:rsidRPr="00E27600">
        <w:rPr>
          <w:lang w:val="es-AR"/>
        </w:rPr>
        <w:t xml:space="preserve">-Evaluar el </w:t>
      </w:r>
      <w:r w:rsidR="000F171C">
        <w:rPr>
          <w:lang w:val="es-AR"/>
        </w:rPr>
        <w:t>tiempo de respuesta</w:t>
      </w:r>
      <w:r w:rsidRPr="00E27600">
        <w:rPr>
          <w:lang w:val="es-AR"/>
        </w:rPr>
        <w:t xml:space="preserve"> de los motores de </w:t>
      </w:r>
      <w:r>
        <w:rPr>
          <w:lang w:val="es-AR"/>
        </w:rPr>
        <w:t xml:space="preserve">BD, </w:t>
      </w:r>
      <w:proofErr w:type="spellStart"/>
      <w:r w:rsidR="000F171C">
        <w:rPr>
          <w:lang w:val="es-AR"/>
        </w:rPr>
        <w:t>P</w:t>
      </w:r>
      <w:r>
        <w:rPr>
          <w:lang w:val="es-AR"/>
        </w:rPr>
        <w:t>osgreSQL</w:t>
      </w:r>
      <w:proofErr w:type="spellEnd"/>
      <w:r>
        <w:rPr>
          <w:lang w:val="es-AR"/>
        </w:rPr>
        <w:t xml:space="preserve"> y </w:t>
      </w:r>
      <w:proofErr w:type="spellStart"/>
      <w:r w:rsidR="000F171C">
        <w:rPr>
          <w:lang w:val="es-AR"/>
        </w:rPr>
        <w:t>E</w:t>
      </w:r>
      <w:r>
        <w:rPr>
          <w:lang w:val="es-AR"/>
        </w:rPr>
        <w:t>l</w:t>
      </w:r>
      <w:r w:rsidR="000F171C">
        <w:rPr>
          <w:lang w:val="es-AR"/>
        </w:rPr>
        <w:t>a</w:t>
      </w:r>
      <w:r>
        <w:rPr>
          <w:lang w:val="es-AR"/>
        </w:rPr>
        <w:t>stic</w:t>
      </w:r>
      <w:proofErr w:type="spellEnd"/>
      <w:r>
        <w:rPr>
          <w:lang w:val="es-AR"/>
        </w:rPr>
        <w:t xml:space="preserve"> </w:t>
      </w:r>
      <w:proofErr w:type="spellStart"/>
      <w:r w:rsidR="000F171C">
        <w:rPr>
          <w:lang w:val="es-AR"/>
        </w:rPr>
        <w:t>S</w:t>
      </w:r>
      <w:r>
        <w:rPr>
          <w:lang w:val="es-AR"/>
        </w:rPr>
        <w:t>earch</w:t>
      </w:r>
      <w:proofErr w:type="spellEnd"/>
      <w:r w:rsidR="000F171C">
        <w:rPr>
          <w:lang w:val="es-AR"/>
        </w:rPr>
        <w:t xml:space="preserve">, en el procesamiento de consultas diferente complejidad y tamaño de BD. </w:t>
      </w:r>
    </w:p>
    <w:p w14:paraId="6FA7C7D7" w14:textId="77777777" w:rsidR="000F171C" w:rsidRDefault="000F171C" w:rsidP="000F171C">
      <w:pPr>
        <w:pStyle w:val="Text"/>
        <w:ind w:firstLine="0"/>
        <w:rPr>
          <w:lang w:val="es-AR"/>
        </w:rPr>
      </w:pPr>
    </w:p>
    <w:p w14:paraId="12AA87F5" w14:textId="00E0AF4C" w:rsidR="000F171C" w:rsidRPr="00E27600" w:rsidRDefault="000F171C" w:rsidP="000F171C">
      <w:pPr>
        <w:pStyle w:val="Text"/>
        <w:ind w:firstLine="0"/>
        <w:rPr>
          <w:lang w:val="es-AR"/>
        </w:rPr>
      </w:pPr>
      <w:r>
        <w:rPr>
          <w:lang w:val="es-AR"/>
        </w:rPr>
        <w:tab/>
        <w:t xml:space="preserve">-Montar un entorno con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 para realizar esta comparativa, y aplicar los conocimientos adquiridos en la materia de Almacenamiento y Captura de la Información de la UNLP.</w:t>
      </w:r>
    </w:p>
    <w:p w14:paraId="09872683" w14:textId="1C3E1599" w:rsidR="00E97B99" w:rsidRPr="00E27600" w:rsidRDefault="00E97B99" w:rsidP="00E97B99">
      <w:pPr>
        <w:pStyle w:val="Text"/>
        <w:rPr>
          <w:lang w:val="es-AR"/>
        </w:rPr>
      </w:pPr>
    </w:p>
    <w:p w14:paraId="20DD1D60" w14:textId="10E7B44F" w:rsidR="00E97B99" w:rsidRPr="000F171C" w:rsidRDefault="00EE17F9" w:rsidP="00E97B99">
      <w:pPr>
        <w:pStyle w:val="Ttulo1"/>
        <w:rPr>
          <w:lang w:val="es-AR"/>
        </w:rPr>
      </w:pPr>
      <w:r w:rsidRPr="000F171C">
        <w:rPr>
          <w:lang w:val="es-AR"/>
        </w:rPr>
        <w:t>MATERIALES Y METODOS</w:t>
      </w:r>
    </w:p>
    <w:p w14:paraId="7F11BEAE" w14:textId="77777777" w:rsidR="00EE17F9" w:rsidRPr="000F171C" w:rsidRDefault="00EE17F9" w:rsidP="00EE17F9">
      <w:pPr>
        <w:pStyle w:val="Ttulo2"/>
        <w:rPr>
          <w:lang w:val="es-AR"/>
        </w:rPr>
      </w:pPr>
      <w:r w:rsidRPr="000F171C">
        <w:rPr>
          <w:lang w:val="es-AR"/>
        </w:rPr>
        <w:t>Base de datos  (BD)</w:t>
      </w:r>
    </w:p>
    <w:p w14:paraId="66CD1AE9" w14:textId="46E93671" w:rsidR="00EE17F9" w:rsidRDefault="00EE17F9" w:rsidP="00EE17F9">
      <w:pPr>
        <w:pStyle w:val="Text"/>
        <w:ind w:firstLine="144"/>
        <w:rPr>
          <w:lang w:val="es-AR"/>
        </w:rPr>
      </w:pPr>
      <w:r w:rsidRPr="008B7F37">
        <w:rPr>
          <w:lang w:val="es-AR"/>
        </w:rPr>
        <w:t>La base de datos a analizar corresponde a 355.00</w:t>
      </w:r>
      <w:r w:rsidR="00320B40">
        <w:rPr>
          <w:lang w:val="es-AR"/>
        </w:rPr>
        <w:t>0</w:t>
      </w:r>
      <w:r w:rsidRPr="008B7F37">
        <w:rPr>
          <w:lang w:val="es-AR"/>
        </w:rPr>
        <w:t xml:space="preserve"> registros distribuidos en 21 campos de datos de </w:t>
      </w:r>
      <w:r>
        <w:rPr>
          <w:lang w:val="es-AR"/>
        </w:rPr>
        <w:t xml:space="preserve">Documentos de tránsito Vegetal Electrónicos (DTV-e) emitidos por </w:t>
      </w:r>
      <w:proofErr w:type="spellStart"/>
      <w:r>
        <w:rPr>
          <w:lang w:val="es-AR"/>
        </w:rPr>
        <w:t>viveristas</w:t>
      </w:r>
      <w:proofErr w:type="spellEnd"/>
      <w:r>
        <w:rPr>
          <w:lang w:val="es-AR"/>
        </w:rPr>
        <w:t xml:space="preserve"> de la Argentina en cumplimiento a normativas nacionales y con el fin de amparar el tránsito de estos materiales entre distintos puntos del país. </w:t>
      </w:r>
    </w:p>
    <w:p w14:paraId="658E46AB" w14:textId="77777777" w:rsidR="00EE17F9" w:rsidRDefault="00EE17F9" w:rsidP="00EE17F9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archivo original importado esta en </w:t>
      </w:r>
      <w:proofErr w:type="gramStart"/>
      <w:r>
        <w:rPr>
          <w:lang w:val="es-AR"/>
        </w:rPr>
        <w:t>formato .</w:t>
      </w:r>
      <w:proofErr w:type="gramEnd"/>
      <w:r w:rsidRPr="008B7F37">
        <w:rPr>
          <w:lang w:val="es-AR"/>
        </w:rPr>
        <w:t xml:space="preserve"> CSV (del inglés </w:t>
      </w:r>
      <w:proofErr w:type="spellStart"/>
      <w:r w:rsidRPr="008B7F37">
        <w:rPr>
          <w:lang w:val="es-AR"/>
        </w:rPr>
        <w:t>comma-separated</w:t>
      </w:r>
      <w:proofErr w:type="spellEnd"/>
      <w:r w:rsidRPr="008B7F37">
        <w:rPr>
          <w:lang w:val="es-AR"/>
        </w:rPr>
        <w:t xml:space="preserve"> </w:t>
      </w:r>
      <w:proofErr w:type="spellStart"/>
      <w:r w:rsidRPr="008B7F37">
        <w:rPr>
          <w:lang w:val="es-AR"/>
        </w:rPr>
        <w:t>values</w:t>
      </w:r>
      <w:proofErr w:type="spellEnd"/>
      <w:r w:rsidRPr="008B7F37">
        <w:rPr>
          <w:lang w:val="es-AR"/>
        </w:rPr>
        <w:t>)</w:t>
      </w:r>
      <w:r>
        <w:rPr>
          <w:lang w:val="es-AR"/>
        </w:rPr>
        <w:t xml:space="preserve"> y tiene un peso de </w:t>
      </w:r>
      <w:r w:rsidRPr="000F3371">
        <w:rPr>
          <w:lang w:val="es-AR"/>
        </w:rPr>
        <w:t>109 MB (114.644.979 bytes)</w:t>
      </w:r>
      <w:r>
        <w:rPr>
          <w:lang w:val="es-AR"/>
        </w:rPr>
        <w:t>.</w:t>
      </w:r>
    </w:p>
    <w:p w14:paraId="5437E324" w14:textId="77777777" w:rsidR="00EE17F9" w:rsidRDefault="00EE17F9" w:rsidP="00EE17F9">
      <w:pPr>
        <w:rPr>
          <w:lang w:val="es-AR"/>
        </w:rPr>
      </w:pPr>
    </w:p>
    <w:p w14:paraId="2B7528A4" w14:textId="03EAC8B2" w:rsidR="00E27600" w:rsidRPr="00E27600" w:rsidRDefault="00E27600" w:rsidP="00E27600">
      <w:pPr>
        <w:pStyle w:val="Ttulo2"/>
        <w:rPr>
          <w:lang w:val="es-AR"/>
        </w:rPr>
      </w:pPr>
      <w:r w:rsidRPr="00E27600">
        <w:rPr>
          <w:lang w:val="es-AR"/>
        </w:rPr>
        <w:t>Configuración y preparación del entorno.</w:t>
      </w:r>
    </w:p>
    <w:p w14:paraId="1FF1CC20" w14:textId="77777777" w:rsidR="00E27600" w:rsidRDefault="00E27600" w:rsidP="00E27600">
      <w:pPr>
        <w:ind w:left="202"/>
        <w:rPr>
          <w:lang w:val="es-AR"/>
        </w:rPr>
      </w:pPr>
    </w:p>
    <w:p w14:paraId="4B93E5FC" w14:textId="433F589C" w:rsidR="00E27600" w:rsidRDefault="00194051" w:rsidP="00194051">
      <w:pPr>
        <w:ind w:left="202"/>
        <w:jc w:val="both"/>
        <w:rPr>
          <w:lang w:val="es-AR"/>
        </w:rPr>
      </w:pPr>
      <w:r>
        <w:rPr>
          <w:lang w:val="es-AR"/>
        </w:rPr>
        <w:t>En primer lugar se pensó en montar una máquina virtual con sistema operativo Ubuntu Linux, pero por limitaciones de hardware se tuvo que migrar el montaje a una partición de disco duro e instalación convencional. A partir de allí se pudieron correr los procesos sin inconvenientes</w:t>
      </w:r>
      <w:r w:rsidR="0054541E">
        <w:rPr>
          <w:lang w:val="es-AR"/>
        </w:rPr>
        <w:t xml:space="preserve"> y a una velocidad considerablemente mayor</w:t>
      </w:r>
      <w:r>
        <w:rPr>
          <w:lang w:val="es-AR"/>
        </w:rPr>
        <w:t xml:space="preserve">. </w:t>
      </w:r>
    </w:p>
    <w:p w14:paraId="06BF39CF" w14:textId="77777777" w:rsidR="00194051" w:rsidRDefault="00194051" w:rsidP="00194051">
      <w:pPr>
        <w:ind w:left="202"/>
        <w:jc w:val="both"/>
        <w:rPr>
          <w:lang w:val="es-AR"/>
        </w:rPr>
      </w:pPr>
    </w:p>
    <w:p w14:paraId="711960EF" w14:textId="5893BA1A" w:rsidR="00194051" w:rsidRDefault="00194051" w:rsidP="00194051">
      <w:pPr>
        <w:ind w:left="202"/>
        <w:jc w:val="both"/>
        <w:rPr>
          <w:lang w:val="es-AR"/>
        </w:rPr>
      </w:pPr>
      <w:r>
        <w:rPr>
          <w:lang w:val="es-AR"/>
        </w:rPr>
        <w:t xml:space="preserve">El paso a paso detallado del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, como de los paquetes de </w:t>
      </w:r>
      <w:proofErr w:type="spellStart"/>
      <w:r w:rsidRPr="00194051">
        <w:rPr>
          <w:lang w:val="es-AR"/>
        </w:rPr>
        <w:t>D</w:t>
      </w:r>
      <w:r>
        <w:rPr>
          <w:lang w:val="es-AR"/>
        </w:rPr>
        <w:t>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PostGres</w:t>
      </w:r>
      <w:proofErr w:type="spellEnd"/>
      <w:r>
        <w:rPr>
          <w:lang w:val="es-AR"/>
        </w:rPr>
        <w:t xml:space="preserve">, PgaAdmin4, </w:t>
      </w:r>
      <w:proofErr w:type="spellStart"/>
      <w:r>
        <w:rPr>
          <w:lang w:val="es-AR"/>
        </w:rPr>
        <w:t>PostGres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Elastic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Logstash</w:t>
      </w:r>
      <w:proofErr w:type="spellEnd"/>
      <w:r>
        <w:rPr>
          <w:lang w:val="es-AR"/>
        </w:rPr>
        <w:t xml:space="preserve"> y </w:t>
      </w:r>
      <w:proofErr w:type="spellStart"/>
      <w:proofErr w:type="gramStart"/>
      <w:r>
        <w:rPr>
          <w:lang w:val="es-AR"/>
        </w:rPr>
        <w:t>Kibana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se pueden consultar en el readme.md disponible en: </w:t>
      </w:r>
      <w:hyperlink r:id="rId11" w:anchor="readme" w:history="1">
        <w:r w:rsidR="007E7ADE" w:rsidRPr="000618C9">
          <w:rPr>
            <w:rStyle w:val="Hipervnculo"/>
            <w:lang w:val="es-AR"/>
          </w:rPr>
          <w:t>https://github.com/warasoft/tp_final#readme</w:t>
        </w:r>
      </w:hyperlink>
    </w:p>
    <w:p w14:paraId="68C6E9D2" w14:textId="77777777" w:rsidR="007E7ADE" w:rsidRDefault="007E7ADE" w:rsidP="00194051">
      <w:pPr>
        <w:ind w:left="202"/>
        <w:jc w:val="both"/>
        <w:rPr>
          <w:lang w:val="es-AR"/>
        </w:rPr>
      </w:pPr>
    </w:p>
    <w:p w14:paraId="36576990" w14:textId="24859946" w:rsidR="007E7ADE" w:rsidRPr="00E27600" w:rsidRDefault="007E7ADE" w:rsidP="007E7ADE">
      <w:pPr>
        <w:pStyle w:val="Ttulo2"/>
        <w:rPr>
          <w:lang w:val="es-AR"/>
        </w:rPr>
      </w:pPr>
      <w:r>
        <w:rPr>
          <w:lang w:val="es-AR"/>
        </w:rPr>
        <w:t>Matriz de comparación de tiempos de respuesta</w:t>
      </w:r>
      <w:r w:rsidRPr="007E7ADE">
        <w:rPr>
          <w:lang w:val="es-AR"/>
        </w:rPr>
        <w:t>.</w:t>
      </w:r>
    </w:p>
    <w:p w14:paraId="6EBC788E" w14:textId="77777777" w:rsidR="00E27600" w:rsidRDefault="00E27600" w:rsidP="007E7ADE">
      <w:pPr>
        <w:ind w:left="202"/>
        <w:rPr>
          <w:lang w:val="es-AR"/>
        </w:rPr>
      </w:pPr>
    </w:p>
    <w:p w14:paraId="084A4BC0" w14:textId="76C68D0C" w:rsidR="007E7ADE" w:rsidRDefault="007E7ADE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Se </w:t>
      </w:r>
      <w:r w:rsidR="008D734A">
        <w:rPr>
          <w:lang w:val="es-AR"/>
        </w:rPr>
        <w:t>elaboró</w:t>
      </w:r>
      <w:r>
        <w:rPr>
          <w:lang w:val="es-AR"/>
        </w:rPr>
        <w:t xml:space="preserve"> una matriz de 3 x 3 para evaluar la respuesta de los distintos motores en función de  3 consultas de menor a mayor complejidad y 3 tamaños de la base de datos al 25%, 50% y 100</w:t>
      </w:r>
      <w:proofErr w:type="gramStart"/>
      <w:r>
        <w:rPr>
          <w:lang w:val="es-AR"/>
        </w:rPr>
        <w:t>% .</w:t>
      </w:r>
      <w:proofErr w:type="gramEnd"/>
    </w:p>
    <w:p w14:paraId="1531A78B" w14:textId="77777777" w:rsidR="0092552B" w:rsidRDefault="0092552B" w:rsidP="007E7ADE">
      <w:pPr>
        <w:ind w:left="202"/>
        <w:jc w:val="both"/>
        <w:rPr>
          <w:lang w:val="es-AR"/>
        </w:rPr>
      </w:pPr>
    </w:p>
    <w:p w14:paraId="2CF536B8" w14:textId="4BBF16A0" w:rsidR="0092552B" w:rsidRDefault="0092552B" w:rsidP="007E7ADE">
      <w:pPr>
        <w:ind w:left="202"/>
        <w:jc w:val="both"/>
        <w:rPr>
          <w:lang w:val="es-AR"/>
        </w:rPr>
      </w:pPr>
      <w:r>
        <w:rPr>
          <w:lang w:val="es-AR"/>
        </w:rPr>
        <w:t>La consulta de menor complejidad, es un filtrado por tipo de movimiento en donde se seleccionan todos los documentos emitidos bajo el tipo “</w:t>
      </w:r>
      <w:r w:rsidRPr="0092552B">
        <w:rPr>
          <w:lang w:val="es-AR"/>
        </w:rPr>
        <w:t>"Vivero - Vivero"</w:t>
      </w:r>
      <w:r>
        <w:rPr>
          <w:lang w:val="es-AR"/>
        </w:rPr>
        <w:t>.</w:t>
      </w:r>
    </w:p>
    <w:p w14:paraId="7FAB011B" w14:textId="77777777" w:rsidR="0092552B" w:rsidRDefault="0092552B" w:rsidP="007E7ADE">
      <w:pPr>
        <w:ind w:left="202"/>
        <w:jc w:val="both"/>
        <w:rPr>
          <w:lang w:val="es-AR"/>
        </w:rPr>
      </w:pPr>
    </w:p>
    <w:p w14:paraId="3121CB34" w14:textId="35D23D4A" w:rsidR="0092552B" w:rsidRDefault="0092552B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La consulta de mediana complejidad, tiene dos condiciones a cumplir debe mostrar </w:t>
      </w:r>
      <w:r w:rsidR="0066398F">
        <w:rPr>
          <w:lang w:val="es-AR"/>
        </w:rPr>
        <w:t xml:space="preserve">todos los documentos emitidos bajo </w:t>
      </w:r>
      <w:r w:rsidR="0066398F">
        <w:rPr>
          <w:lang w:val="es-AR"/>
        </w:rPr>
        <w:lastRenderedPageBreak/>
        <w:t>el tipo “</w:t>
      </w:r>
      <w:r w:rsidR="0066398F" w:rsidRPr="0092552B">
        <w:rPr>
          <w:lang w:val="es-AR"/>
        </w:rPr>
        <w:t>"Vivero - Vivero"</w:t>
      </w:r>
      <w:r w:rsidR="0066398F">
        <w:rPr>
          <w:lang w:val="es-AR"/>
        </w:rPr>
        <w:t xml:space="preserve"> con origen la provincia de Buenos Aires. Por último, la consulta de alta complejidad debe cumplir </w:t>
      </w:r>
      <w:proofErr w:type="gramStart"/>
      <w:r w:rsidR="0066398F">
        <w:rPr>
          <w:lang w:val="es-AR"/>
        </w:rPr>
        <w:t>las condiciones anteriores pero solo</w:t>
      </w:r>
      <w:proofErr w:type="gramEnd"/>
      <w:r w:rsidR="0066398F">
        <w:rPr>
          <w:lang w:val="es-AR"/>
        </w:rPr>
        <w:t xml:space="preserve"> para el vivero con número de RENFO “BAI00037-A”.</w:t>
      </w:r>
    </w:p>
    <w:p w14:paraId="5D8605B8" w14:textId="77777777" w:rsidR="0066398F" w:rsidRDefault="0066398F" w:rsidP="007E7ADE">
      <w:pPr>
        <w:ind w:left="202"/>
        <w:jc w:val="both"/>
        <w:rPr>
          <w:lang w:val="es-AR"/>
        </w:rPr>
      </w:pPr>
    </w:p>
    <w:p w14:paraId="21662C00" w14:textId="3F168BCF" w:rsidR="0066398F" w:rsidRDefault="0066398F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La elección de diferentes tipos de consultas y tamaños de BD busca abarcar la mayor cantidad de situaciones posibles, de forma tal de poder determinar el comportamiento de cada una de las herramientas de forma </w:t>
      </w:r>
      <w:proofErr w:type="spellStart"/>
      <w:r>
        <w:rPr>
          <w:lang w:val="es-AR"/>
        </w:rPr>
        <w:t>abarcativa</w:t>
      </w:r>
      <w:proofErr w:type="spellEnd"/>
      <w:r>
        <w:rPr>
          <w:lang w:val="es-AR"/>
        </w:rPr>
        <w:t xml:space="preserve"> y no con un sesgo que pueda favorecer una u otra.</w:t>
      </w:r>
    </w:p>
    <w:p w14:paraId="763F6385" w14:textId="5EFE5472" w:rsidR="00E97B99" w:rsidRDefault="00A51A25" w:rsidP="007E7ADE">
      <w:pPr>
        <w:pStyle w:val="Ttulo1"/>
      </w:pPr>
      <w:r>
        <w:rPr>
          <w:rFonts w:ascii="Times-Roman" w:hAnsi="Times-Roman" w:cs="Times-Roman"/>
          <w:b/>
          <w:noProof/>
          <w:lang w:val="es-AR" w:eastAsia="es-AR"/>
        </w:rPr>
        <w:drawing>
          <wp:anchor distT="0" distB="0" distL="114300" distR="114300" simplePos="0" relativeHeight="251668480" behindDoc="0" locked="0" layoutInCell="1" allowOverlap="1" wp14:anchorId="05BB30D7" wp14:editId="5DFA87DB">
            <wp:simplePos x="0" y="0"/>
            <wp:positionH relativeFrom="column">
              <wp:posOffset>3378835</wp:posOffset>
            </wp:positionH>
            <wp:positionV relativeFrom="paragraph">
              <wp:posOffset>154305</wp:posOffset>
            </wp:positionV>
            <wp:extent cx="949960" cy="814070"/>
            <wp:effectExtent l="0" t="0" r="254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47"/>
                    <a:stretch/>
                  </pic:blipFill>
                  <pic:spPr bwMode="auto">
                    <a:xfrm>
                      <a:off x="0" y="0"/>
                      <a:ext cx="949960" cy="81407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41E">
        <w:t>RESULTADOS</w:t>
      </w:r>
    </w:p>
    <w:p w14:paraId="31084068" w14:textId="0D16CA88" w:rsidR="00E97B99" w:rsidRDefault="00E97B99" w:rsidP="0054541E">
      <w:pPr>
        <w:pStyle w:val="Text"/>
        <w:rPr>
          <w:rStyle w:val="Hipervnculo"/>
          <w:sz w:val="18"/>
        </w:rPr>
      </w:pPr>
      <w:r>
        <w:t xml:space="preserve"> </w:t>
      </w:r>
    </w:p>
    <w:p w14:paraId="249BAB93" w14:textId="2DE84618" w:rsidR="00E97B99" w:rsidRDefault="008D734A" w:rsidP="00E97B99">
      <w:pPr>
        <w:pStyle w:val="Text"/>
        <w:rPr>
          <w:lang w:val="es-AR"/>
        </w:rPr>
      </w:pPr>
      <w:r w:rsidRPr="008D734A">
        <w:rPr>
          <w:lang w:val="es-AR"/>
        </w:rPr>
        <w:t xml:space="preserve">A continuación en la Tabla 1 se exponen los resultados de los tiempos de respuesta para motores de </w:t>
      </w:r>
      <w:r w:rsidR="0061659A" w:rsidRPr="008D734A">
        <w:rPr>
          <w:lang w:val="es-AR"/>
        </w:rPr>
        <w:t>búsqueda</w:t>
      </w:r>
      <w:r w:rsidRPr="008D734A">
        <w:rPr>
          <w:lang w:val="es-AR"/>
        </w:rPr>
        <w:t xml:space="preserve"> analizados</w:t>
      </w:r>
      <w:r w:rsidR="0061659A">
        <w:rPr>
          <w:lang w:val="es-AR"/>
        </w:rPr>
        <w:t xml:space="preserve"> según las condiciones establecidas en la matriz.</w:t>
      </w:r>
    </w:p>
    <w:p w14:paraId="3CA21CB2" w14:textId="77777777" w:rsidR="0061659A" w:rsidRDefault="0061659A" w:rsidP="00E97B99">
      <w:pPr>
        <w:pStyle w:val="Text"/>
        <w:rPr>
          <w:lang w:val="es-AR"/>
        </w:rPr>
      </w:pPr>
    </w:p>
    <w:p w14:paraId="37014F3D" w14:textId="0C5784B5" w:rsidR="0061659A" w:rsidRPr="0061659A" w:rsidRDefault="0061659A" w:rsidP="0061659A">
      <w:pPr>
        <w:pStyle w:val="TableTitle"/>
        <w:rPr>
          <w:lang w:val="es-AR"/>
        </w:rPr>
      </w:pPr>
      <w:proofErr w:type="spellStart"/>
      <w:r w:rsidRPr="0061659A">
        <w:rPr>
          <w:lang w:val="es-AR"/>
        </w:rPr>
        <w:t>TABL</w:t>
      </w:r>
      <w:r w:rsidRPr="0061659A">
        <w:rPr>
          <w:lang w:val="es-AR"/>
        </w:rPr>
        <w:t>a</w:t>
      </w:r>
      <w:proofErr w:type="spellEnd"/>
      <w:r w:rsidRPr="0061659A">
        <w:rPr>
          <w:lang w:val="es-AR"/>
        </w:rPr>
        <w:t xml:space="preserve"> I</w:t>
      </w:r>
    </w:p>
    <w:p w14:paraId="4849B32C" w14:textId="3A718CA3" w:rsidR="0061659A" w:rsidRPr="0061659A" w:rsidRDefault="0061659A" w:rsidP="0061659A">
      <w:pPr>
        <w:pStyle w:val="TableTitle"/>
        <w:rPr>
          <w:lang w:val="es-AR"/>
        </w:rPr>
      </w:pPr>
      <w:r>
        <w:rPr>
          <w:lang w:val="es-AR"/>
        </w:rPr>
        <w:t xml:space="preserve">resultados de performance de las herramientas elegidas para las diferentes condiciones </w:t>
      </w:r>
    </w:p>
    <w:p w14:paraId="68B47BCA" w14:textId="77777777" w:rsidR="0010488C" w:rsidRPr="0061659A" w:rsidRDefault="0010488C" w:rsidP="00E97B99">
      <w:pPr>
        <w:pStyle w:val="Text"/>
        <w:rPr>
          <w:lang w:val="es-A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9"/>
        <w:gridCol w:w="680"/>
        <w:gridCol w:w="623"/>
        <w:gridCol w:w="682"/>
        <w:gridCol w:w="623"/>
        <w:gridCol w:w="682"/>
        <w:gridCol w:w="621"/>
      </w:tblGrid>
      <w:tr w:rsidR="0010488C" w:rsidRPr="0010488C" w14:paraId="533EB19E" w14:textId="77777777" w:rsidTr="0061659A">
        <w:trPr>
          <w:trHeight w:val="300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BE15" w14:textId="0FE20C07" w:rsidR="0010488C" w:rsidRPr="0010488C" w:rsidRDefault="0061659A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Tamaño</w:t>
            </w:r>
            <w:r>
              <w:rPr>
                <w:lang w:val="es-AR"/>
              </w:rPr>
              <w:t xml:space="preserve"> BD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1F1C3" w14:textId="77777777" w:rsidR="0010488C" w:rsidRPr="0010488C" w:rsidRDefault="0010488C" w:rsidP="0010488C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25%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4A047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50%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5A6DA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100%</w:t>
            </w:r>
          </w:p>
        </w:tc>
      </w:tr>
      <w:tr w:rsidR="0061659A" w:rsidRPr="0010488C" w14:paraId="4DE5BB41" w14:textId="77777777" w:rsidTr="0061659A">
        <w:trPr>
          <w:trHeight w:val="315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0CB9F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Consulta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68B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858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017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601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2F3D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8007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</w:tr>
      <w:tr w:rsidR="0010488C" w:rsidRPr="0010488C" w14:paraId="295E67DB" w14:textId="77777777" w:rsidTr="0061659A">
        <w:trPr>
          <w:trHeight w:val="300"/>
        </w:trPr>
        <w:tc>
          <w:tcPr>
            <w:tcW w:w="122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D7C0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Simple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C53C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4327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7FB2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0B4C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388E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8602D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04BD7AE4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F74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Media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62E66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C85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85771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7FEA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B0322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40200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1BEA3BF7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3BD7" w14:textId="4AD7894E" w:rsidR="0010488C" w:rsidRPr="0010488C" w:rsidRDefault="0066398F" w:rsidP="0010488C">
            <w:pPr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49E1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C34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D5C5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AF34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A34CF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8B7A5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3C9CFBB8" w14:textId="77777777" w:rsidTr="0061659A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3280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 xml:space="preserve">*PGS= </w:t>
            </w:r>
            <w:proofErr w:type="spellStart"/>
            <w:r w:rsidRPr="0010488C">
              <w:rPr>
                <w:lang w:val="es-AR"/>
              </w:rPr>
              <w:t>Posgres</w:t>
            </w:r>
            <w:proofErr w:type="spellEnd"/>
            <w:r w:rsidRPr="0010488C">
              <w:rPr>
                <w:lang w:val="es-AR"/>
              </w:rPr>
              <w:t xml:space="preserve">, </w:t>
            </w:r>
            <w:proofErr w:type="spellStart"/>
            <w:r w:rsidRPr="0010488C">
              <w:rPr>
                <w:lang w:val="es-AR"/>
              </w:rPr>
              <w:t>Esh</w:t>
            </w:r>
            <w:proofErr w:type="spellEnd"/>
            <w:r w:rsidRPr="0010488C">
              <w:rPr>
                <w:lang w:val="es-AR"/>
              </w:rPr>
              <w:t xml:space="preserve">= </w:t>
            </w:r>
            <w:proofErr w:type="spellStart"/>
            <w:r w:rsidRPr="0010488C">
              <w:rPr>
                <w:lang w:val="es-AR"/>
              </w:rPr>
              <w:t>Elastic</w:t>
            </w:r>
            <w:proofErr w:type="spellEnd"/>
            <w:r w:rsidRPr="0010488C">
              <w:rPr>
                <w:lang w:val="es-AR"/>
              </w:rPr>
              <w:t xml:space="preserve"> </w:t>
            </w:r>
            <w:proofErr w:type="spellStart"/>
            <w:r w:rsidRPr="0010488C">
              <w:rPr>
                <w:lang w:val="es-AR"/>
              </w:rPr>
              <w:t>Search</w:t>
            </w:r>
            <w:proofErr w:type="spellEnd"/>
          </w:p>
        </w:tc>
      </w:tr>
    </w:tbl>
    <w:p w14:paraId="6EFDF64E" w14:textId="77777777" w:rsidR="0010488C" w:rsidRPr="0010488C" w:rsidRDefault="0010488C" w:rsidP="00E97B99">
      <w:pPr>
        <w:pStyle w:val="Text"/>
      </w:pPr>
    </w:p>
    <w:p w14:paraId="0311FF6C" w14:textId="37BA8F5B" w:rsidR="00E97B99" w:rsidRPr="0010488C" w:rsidRDefault="00E97B99" w:rsidP="001F4C5C">
      <w:pPr>
        <w:pStyle w:val="Ttulo2"/>
        <w:numPr>
          <w:ilvl w:val="0"/>
          <w:numId w:val="0"/>
        </w:numPr>
      </w:pPr>
    </w:p>
    <w:p w14:paraId="194618F8" w14:textId="5A0C140F" w:rsidR="001B36B1" w:rsidRPr="00E857A2" w:rsidRDefault="0054541E" w:rsidP="001B36B1">
      <w:pPr>
        <w:pStyle w:val="Ttulo1"/>
      </w:pPr>
      <w:r>
        <w:t>CONCLUSIONES</w:t>
      </w:r>
    </w:p>
    <w:p w14:paraId="14B07D6F" w14:textId="77777777" w:rsidR="005D72BB" w:rsidRDefault="005D72BB" w:rsidP="005D72BB">
      <w:pPr>
        <w:pStyle w:val="Text"/>
        <w:ind w:firstLine="0"/>
      </w:pPr>
    </w:p>
    <w:p w14:paraId="20716BEF" w14:textId="77777777" w:rsidR="00E97402" w:rsidRDefault="00E97402">
      <w:pPr>
        <w:pStyle w:val="ReferenceHead"/>
      </w:pPr>
      <w:r>
        <w:lastRenderedPageBreak/>
        <w:t>References</w:t>
      </w:r>
    </w:p>
    <w:p w14:paraId="0B1A761F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62187CAC" w14:textId="55EDC10A" w:rsidR="0054541E" w:rsidRDefault="0054541E" w:rsidP="0054541E">
      <w:pPr>
        <w:pStyle w:val="Ttulo2"/>
      </w:pPr>
      <w:proofErr w:type="spellStart"/>
      <w:proofErr w:type="gramStart"/>
      <w:r>
        <w:rPr>
          <w:spacing w:val="18"/>
        </w:rPr>
        <w:t>Cotten</w:t>
      </w:r>
      <w:proofErr w:type="spellEnd"/>
      <w:r w:rsidRPr="00263943">
        <w:t>.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 w:rsidRPr="00263943">
        <w:t>(</w:t>
      </w:r>
      <w:proofErr w:type="gramStart"/>
      <w:r>
        <w:t>2021</w:t>
      </w:r>
      <w:r w:rsidRPr="00263943">
        <w:rPr>
          <w:spacing w:val="-23"/>
        </w:rPr>
        <w:t xml:space="preserve"> </w:t>
      </w:r>
      <w:r w:rsidRPr="00263943">
        <w:t>,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>
        <w:t>May</w:t>
      </w:r>
      <w:r w:rsidRPr="00263943">
        <w:rPr>
          <w:spacing w:val="-23"/>
        </w:rPr>
        <w:t xml:space="preserve"> </w:t>
      </w:r>
      <w:r w:rsidRPr="00263943">
        <w:t>.</w:t>
      </w:r>
      <w:r w:rsidRPr="00263943">
        <w:rPr>
          <w:spacing w:val="-24"/>
        </w:rPr>
        <w:t xml:space="preserve"> </w:t>
      </w:r>
      <w:r w:rsidRPr="00263943">
        <w:t xml:space="preserve">). </w:t>
      </w:r>
      <w:r w:rsidRPr="00263943">
        <w:rPr>
          <w:spacing w:val="20"/>
        </w:rPr>
        <w:t xml:space="preserve"> </w:t>
      </w:r>
      <w:proofErr w:type="gramStart"/>
      <w:r w:rsidRPr="0054541E">
        <w:t xml:space="preserve">Elastic stack (ELK) on </w:t>
      </w:r>
      <w:proofErr w:type="spellStart"/>
      <w:r w:rsidRPr="0054541E">
        <w:t>Docker</w:t>
      </w:r>
      <w:proofErr w:type="spellEnd"/>
      <w:r w:rsidRPr="00263943">
        <w:t>.</w:t>
      </w:r>
      <w:proofErr w:type="gramEnd"/>
      <w:r w:rsidRPr="00263943"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GitHub</w:t>
      </w:r>
      <w:proofErr w:type="spellEnd"/>
      <w:r w:rsidRPr="00263943">
        <w:t>.</w:t>
      </w:r>
      <w:proofErr w:type="gramEnd"/>
      <w:r w:rsidRPr="00263943">
        <w:t xml:space="preserve"> </w:t>
      </w:r>
      <w:proofErr w:type="gramStart"/>
      <w:r w:rsidRPr="00263943">
        <w:rPr>
          <w:spacing w:val="-1"/>
        </w:rPr>
        <w:t>[</w:t>
      </w:r>
      <w:r w:rsidRPr="00263943">
        <w:t>Onl</w:t>
      </w:r>
      <w:r w:rsidRPr="00263943">
        <w:rPr>
          <w:spacing w:val="-2"/>
        </w:rPr>
        <w:t>i</w:t>
      </w:r>
      <w:r w:rsidRPr="00263943">
        <w:rPr>
          <w:spacing w:val="1"/>
        </w:rPr>
        <w:t>n</w:t>
      </w:r>
      <w:r w:rsidRPr="00263943">
        <w:t>e</w:t>
      </w:r>
      <w:r w:rsidRPr="00263943">
        <w:rPr>
          <w:spacing w:val="-1"/>
        </w:rPr>
        <w:t>]</w:t>
      </w:r>
      <w:r w:rsidRPr="00263943">
        <w:t>.</w:t>
      </w:r>
      <w:proofErr w:type="gramEnd"/>
      <w:r w:rsidRPr="00263943">
        <w:t xml:space="preserve"> </w:t>
      </w:r>
    </w:p>
    <w:p w14:paraId="1132317F" w14:textId="6073CF8A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 w:rsidRPr="00263943">
        <w:t>Availab</w:t>
      </w:r>
      <w:r w:rsidRPr="00263943">
        <w:rPr>
          <w:spacing w:val="-2"/>
        </w:rPr>
        <w:t>l</w:t>
      </w:r>
      <w:r w:rsidRPr="00263943">
        <w:t>e:</w:t>
      </w:r>
      <w:hyperlink r:id="rId14" w:history="1">
        <w:r w:rsidRPr="00263943">
          <w:t xml:space="preserve"> </w:t>
        </w:r>
        <w:r w:rsidRPr="0054541E">
          <w:rPr>
            <w:spacing w:val="1"/>
          </w:rPr>
          <w:t>https://github.com/deviantony/docker-elk</w:t>
        </w:r>
      </w:hyperlink>
    </w:p>
    <w:p w14:paraId="4DA18B62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3D574E55" w14:textId="2AB89AD0" w:rsidR="00E97402" w:rsidRDefault="00E97402">
      <w:pPr>
        <w:pStyle w:val="FigureCaption"/>
        <w:rPr>
          <w:b/>
          <w:bCs/>
        </w:rPr>
      </w:pPr>
    </w:p>
    <w:p w14:paraId="3CAFC670" w14:textId="77777777" w:rsidR="008E0645" w:rsidRDefault="008E0645">
      <w:pPr>
        <w:pStyle w:val="FigureCaption"/>
        <w:rPr>
          <w:b/>
          <w:bCs/>
        </w:rPr>
      </w:pPr>
    </w:p>
    <w:p w14:paraId="25547F6E" w14:textId="77777777" w:rsidR="00463274" w:rsidRPr="008D734A" w:rsidRDefault="00463274" w:rsidP="0054541E">
      <w:pPr>
        <w:pStyle w:val="FigureCaption"/>
        <w:rPr>
          <w:rFonts w:ascii="Times-Roman" w:hAnsi="Times-Roman" w:cs="Times-Roman"/>
          <w:b/>
          <w:noProof/>
          <w:sz w:val="20"/>
          <w:szCs w:val="20"/>
          <w:lang w:eastAsia="es-AR"/>
        </w:rPr>
      </w:pPr>
    </w:p>
    <w:p w14:paraId="437855C6" w14:textId="35D31F32" w:rsidR="00582B9F" w:rsidRDefault="0054541E" w:rsidP="0054541E">
      <w:pPr>
        <w:pStyle w:val="FigureCaption"/>
        <w:rPr>
          <w:sz w:val="20"/>
          <w:szCs w:val="20"/>
          <w:lang w:val="es-AR"/>
        </w:rPr>
      </w:pPr>
      <w:r w:rsidRPr="00463274">
        <w:rPr>
          <w:rFonts w:ascii="Times-Roman" w:hAnsi="Times-Roman" w:cs="Times-Roman"/>
          <w:b/>
          <w:sz w:val="20"/>
          <w:szCs w:val="20"/>
          <w:lang w:val="es-AR"/>
        </w:rPr>
        <w:t>ALONSO, Juan Manuel.</w:t>
      </w:r>
      <w:r w:rsidRPr="0054541E">
        <w:rPr>
          <w:sz w:val="20"/>
          <w:szCs w:val="20"/>
          <w:lang w:val="es-AR"/>
        </w:rPr>
        <w:t xml:space="preserve"> Ingeniero agrónomo, recibido en la </w:t>
      </w:r>
      <w:r>
        <w:rPr>
          <w:sz w:val="20"/>
          <w:szCs w:val="20"/>
          <w:lang w:val="es-AR"/>
        </w:rPr>
        <w:t xml:space="preserve">Universidad de Morón en el año 2012 y con un posgrado en Alta Dirección de </w:t>
      </w:r>
      <w:proofErr w:type="spellStart"/>
      <w:r>
        <w:rPr>
          <w:sz w:val="20"/>
          <w:szCs w:val="20"/>
          <w:lang w:val="es-AR"/>
        </w:rPr>
        <w:t>Agronegocios</w:t>
      </w:r>
      <w:proofErr w:type="spellEnd"/>
      <w:r>
        <w:rPr>
          <w:sz w:val="20"/>
          <w:szCs w:val="20"/>
          <w:lang w:val="es-AR"/>
        </w:rPr>
        <w:t xml:space="preserve"> y </w:t>
      </w:r>
    </w:p>
    <w:p w14:paraId="77A3DF1B" w14:textId="7A7F5C20" w:rsidR="0054541E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Alimentos de la Facultad de Ciencias Agrarias de la Universidad de Buenos Aires en el año 2018. Desde el año 2020, se encuentra estudiando la </w:t>
      </w:r>
      <w:proofErr w:type="spellStart"/>
      <w:r>
        <w:rPr>
          <w:sz w:val="20"/>
          <w:szCs w:val="20"/>
          <w:lang w:val="es-AR"/>
        </w:rPr>
        <w:t>Maestria</w:t>
      </w:r>
      <w:proofErr w:type="spellEnd"/>
      <w:r>
        <w:rPr>
          <w:sz w:val="20"/>
          <w:szCs w:val="20"/>
          <w:lang w:val="es-AR"/>
        </w:rPr>
        <w:t xml:space="preserve"> de inteligencia de datos orientada en Big Data de la Universidad Nacional de La Plata. </w:t>
      </w:r>
    </w:p>
    <w:p w14:paraId="66843CEE" w14:textId="77777777" w:rsidR="0054541E" w:rsidRDefault="0054541E" w:rsidP="0054541E">
      <w:pPr>
        <w:pStyle w:val="FigureCaption"/>
        <w:rPr>
          <w:sz w:val="20"/>
          <w:szCs w:val="20"/>
          <w:lang w:val="es-AR"/>
        </w:rPr>
      </w:pPr>
    </w:p>
    <w:p w14:paraId="777F0CAE" w14:textId="64B31095" w:rsidR="00E96A3A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Actualmente trabaja como Analista Profesional en la Dirección Nacional de Protección Vegetal del SENASA en la coordinación del Programa Nacional de Sanidad de Material de propagación Vegetal. </w:t>
      </w:r>
    </w:p>
    <w:p w14:paraId="3C7DD3BD" w14:textId="77777777" w:rsidR="0054541E" w:rsidRPr="0054541E" w:rsidRDefault="0054541E" w:rsidP="0054541E">
      <w:pPr>
        <w:pStyle w:val="FigureCaption"/>
        <w:rPr>
          <w:rFonts w:ascii="Times-Roman" w:hAnsi="Times-Roman" w:cs="Times-Roman"/>
          <w:lang w:val="es-AR"/>
        </w:rPr>
      </w:pPr>
    </w:p>
    <w:p w14:paraId="630DD174" w14:textId="24677D63" w:rsidR="00582B9F" w:rsidRPr="00485826" w:rsidRDefault="0054541E" w:rsidP="00582B9F">
      <w:pPr>
        <w:adjustRightInd w:val="0"/>
        <w:jc w:val="both"/>
        <w:rPr>
          <w:rFonts w:ascii="Times-Roman" w:hAnsi="Times-Roman" w:cs="Times-Roman"/>
          <w:lang w:val="es-AR"/>
        </w:rPr>
      </w:pPr>
      <w:r w:rsidRPr="0054541E">
        <w:rPr>
          <w:b/>
          <w:bCs/>
          <w:noProof/>
          <w:lang w:val="es-AR" w:eastAsia="es-AR"/>
        </w:rPr>
        <w:drawing>
          <wp:anchor distT="0" distB="118745" distL="114300" distR="114300" simplePos="0" relativeHeight="251667456" behindDoc="0" locked="0" layoutInCell="1" allowOverlap="1" wp14:anchorId="42BAC56C" wp14:editId="3EB2C7D7">
            <wp:simplePos x="0" y="0"/>
            <wp:positionH relativeFrom="column">
              <wp:posOffset>-6985</wp:posOffset>
            </wp:positionH>
            <wp:positionV relativeFrom="paragraph">
              <wp:posOffset>-654685</wp:posOffset>
            </wp:positionV>
            <wp:extent cx="914400" cy="1143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3.t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826">
        <w:rPr>
          <w:rFonts w:ascii="Times-Roman" w:hAnsi="Times-Roman" w:cs="Times-Roman"/>
          <w:b/>
          <w:lang w:val="es-AR"/>
        </w:rPr>
        <w:t xml:space="preserve">ROMANO, </w:t>
      </w:r>
      <w:proofErr w:type="spellStart"/>
      <w:r w:rsidRPr="00485826">
        <w:rPr>
          <w:rFonts w:ascii="Times-Roman" w:hAnsi="Times-Roman" w:cs="Times-Roman"/>
          <w:b/>
          <w:lang w:val="es-AR"/>
        </w:rPr>
        <w:t>Jhonatan</w:t>
      </w:r>
      <w:proofErr w:type="spellEnd"/>
      <w:r w:rsidRPr="00485826">
        <w:rPr>
          <w:rFonts w:ascii="Times-Roman" w:hAnsi="Times-Roman" w:cs="Times-Roman"/>
          <w:b/>
          <w:lang w:val="es-AR"/>
        </w:rPr>
        <w:t>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  <w:r w:rsidR="00485826" w:rsidRPr="00485826">
        <w:rPr>
          <w:rFonts w:ascii="Times-Roman" w:hAnsi="Times-Roman" w:cs="Times-Roman"/>
          <w:lang w:val="es-AR"/>
        </w:rPr>
        <w:t>Licenciado en Informática.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</w:p>
    <w:p w14:paraId="7255DD0B" w14:textId="3F7E40ED" w:rsidR="00E96A3A" w:rsidRPr="00485826" w:rsidRDefault="00E96A3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>).</w:t>
      </w:r>
    </w:p>
    <w:p w14:paraId="70515DD5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C89B6FA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4A3D85BD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7365783" w14:textId="6AF9F5B8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7AC8232A" w14:textId="513C280E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1254909A" w14:textId="0BD97F33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  <w:sectPr w:rsidR="008F594A" w:rsidRPr="00485826" w:rsidSect="00837E47">
          <w:headerReference w:type="default" r:id="rId16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485826">
        <w:rPr>
          <w:rFonts w:ascii="Times-Roman" w:hAnsi="Times-Roman" w:cs="Times-Roman"/>
          <w:lang w:val="es-AR"/>
        </w:rPr>
        <w:t xml:space="preserve"> </w:t>
      </w:r>
      <w:bookmarkStart w:id="1" w:name="_GoBack"/>
      <w:bookmarkEnd w:id="1"/>
    </w:p>
    <w:p w14:paraId="36F86F84" w14:textId="77777777" w:rsidR="0037551B" w:rsidRPr="00485826" w:rsidRDefault="0037551B" w:rsidP="009F40FB">
      <w:pPr>
        <w:pStyle w:val="FigureCaption"/>
        <w:rPr>
          <w:sz w:val="20"/>
          <w:szCs w:val="20"/>
          <w:lang w:val="es-AR"/>
        </w:rPr>
      </w:pPr>
    </w:p>
    <w:sectPr w:rsidR="0037551B" w:rsidRPr="00485826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A6119" w14:textId="77777777" w:rsidR="00EF7CC7" w:rsidRDefault="00EF7CC7">
      <w:r>
        <w:separator/>
      </w:r>
    </w:p>
  </w:endnote>
  <w:endnote w:type="continuationSeparator" w:id="0">
    <w:p w14:paraId="19B1238D" w14:textId="77777777" w:rsidR="00EF7CC7" w:rsidRDefault="00EF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088E4" w14:textId="77777777" w:rsidR="00EF7CC7" w:rsidRDefault="00EF7CC7"/>
  </w:footnote>
  <w:footnote w:type="continuationSeparator" w:id="0">
    <w:p w14:paraId="4568B92C" w14:textId="77777777" w:rsidR="00EF7CC7" w:rsidRDefault="00EF7CC7">
      <w:r>
        <w:continuationSeparator/>
      </w:r>
    </w:p>
  </w:footnote>
  <w:footnote w:id="1">
    <w:p w14:paraId="3BB80BC9" w14:textId="58AFBBDD" w:rsidR="00DE07FA" w:rsidRDefault="00DE07F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A51A25">
      <w:rPr>
        <w:noProof/>
      </w:rPr>
      <w:t>1</w:t>
    </w:r>
    <w:r>
      <w:fldChar w:fldCharType="end"/>
    </w:r>
  </w:p>
  <w:p w14:paraId="3C734628" w14:textId="1415B466" w:rsidR="00DE07FA" w:rsidRPr="00BD1AC9" w:rsidRDefault="00BD1AC9" w:rsidP="003C6C4F">
    <w:pPr>
      <w:ind w:right="360"/>
      <w:jc w:val="center"/>
      <w:rPr>
        <w:lang w:val="es-AR"/>
      </w:rPr>
    </w:pPr>
    <w:r w:rsidRPr="00BD1AC9">
      <w:rPr>
        <w:lang w:val="es-AR"/>
      </w:rPr>
      <w:t>ALMACENAMIENTO Y CAPTURA DE INFORMACIÓN – FAC. C</w:t>
    </w:r>
    <w:r>
      <w:rPr>
        <w:lang w:val="es-AR"/>
      </w:rPr>
      <w:t>IENCIAS INFORMÁTICAS - UNLP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0F171C"/>
    <w:rsid w:val="000F3371"/>
    <w:rsid w:val="0010488C"/>
    <w:rsid w:val="00104BB0"/>
    <w:rsid w:val="0010794E"/>
    <w:rsid w:val="0013354F"/>
    <w:rsid w:val="00143F2E"/>
    <w:rsid w:val="00144E72"/>
    <w:rsid w:val="001768FF"/>
    <w:rsid w:val="001808B0"/>
    <w:rsid w:val="00194051"/>
    <w:rsid w:val="001A60B1"/>
    <w:rsid w:val="001B36B1"/>
    <w:rsid w:val="001D6F1F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F7910"/>
    <w:rsid w:val="00320B40"/>
    <w:rsid w:val="003427CE"/>
    <w:rsid w:val="00360269"/>
    <w:rsid w:val="0037551B"/>
    <w:rsid w:val="00392DBA"/>
    <w:rsid w:val="003C3322"/>
    <w:rsid w:val="003C5C71"/>
    <w:rsid w:val="003C68C2"/>
    <w:rsid w:val="003C6C4F"/>
    <w:rsid w:val="003D4CAE"/>
    <w:rsid w:val="003F26BD"/>
    <w:rsid w:val="003F52AD"/>
    <w:rsid w:val="0043144F"/>
    <w:rsid w:val="00431BFA"/>
    <w:rsid w:val="004353CF"/>
    <w:rsid w:val="004631BC"/>
    <w:rsid w:val="00463274"/>
    <w:rsid w:val="00484761"/>
    <w:rsid w:val="00484DD5"/>
    <w:rsid w:val="00485826"/>
    <w:rsid w:val="004C1E16"/>
    <w:rsid w:val="004C2543"/>
    <w:rsid w:val="004D15CA"/>
    <w:rsid w:val="004E3E4C"/>
    <w:rsid w:val="004F23A0"/>
    <w:rsid w:val="005003E3"/>
    <w:rsid w:val="005052CD"/>
    <w:rsid w:val="0054541E"/>
    <w:rsid w:val="00550A26"/>
    <w:rsid w:val="00550BF5"/>
    <w:rsid w:val="00567A70"/>
    <w:rsid w:val="00582B9F"/>
    <w:rsid w:val="005A2A15"/>
    <w:rsid w:val="005D1B15"/>
    <w:rsid w:val="005D2824"/>
    <w:rsid w:val="005D4F1A"/>
    <w:rsid w:val="005D72BB"/>
    <w:rsid w:val="005E692F"/>
    <w:rsid w:val="0061659A"/>
    <w:rsid w:val="0062114B"/>
    <w:rsid w:val="00623698"/>
    <w:rsid w:val="00625E96"/>
    <w:rsid w:val="00647C09"/>
    <w:rsid w:val="00651F2C"/>
    <w:rsid w:val="0066398F"/>
    <w:rsid w:val="00693D5D"/>
    <w:rsid w:val="006B7F03"/>
    <w:rsid w:val="00725B45"/>
    <w:rsid w:val="007403CA"/>
    <w:rsid w:val="007C4336"/>
    <w:rsid w:val="007E7ADE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7F37"/>
    <w:rsid w:val="008C49CC"/>
    <w:rsid w:val="008D69E9"/>
    <w:rsid w:val="008D734A"/>
    <w:rsid w:val="008E0645"/>
    <w:rsid w:val="008F594A"/>
    <w:rsid w:val="00904C7E"/>
    <w:rsid w:val="0091035B"/>
    <w:rsid w:val="0092552B"/>
    <w:rsid w:val="009A1F6E"/>
    <w:rsid w:val="009C7D17"/>
    <w:rsid w:val="009E484E"/>
    <w:rsid w:val="009F40FB"/>
    <w:rsid w:val="00A22FCB"/>
    <w:rsid w:val="00A472F1"/>
    <w:rsid w:val="00A51A25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872BA"/>
    <w:rsid w:val="00B93546"/>
    <w:rsid w:val="00BD1AC9"/>
    <w:rsid w:val="00BF0C69"/>
    <w:rsid w:val="00BF629B"/>
    <w:rsid w:val="00BF655C"/>
    <w:rsid w:val="00C06F97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D06623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27600"/>
    <w:rsid w:val="00E36209"/>
    <w:rsid w:val="00E420BB"/>
    <w:rsid w:val="00E50DF6"/>
    <w:rsid w:val="00E965C5"/>
    <w:rsid w:val="00E96A3A"/>
    <w:rsid w:val="00E97402"/>
    <w:rsid w:val="00E97B99"/>
    <w:rsid w:val="00EB2E9D"/>
    <w:rsid w:val="00EE17F9"/>
    <w:rsid w:val="00EE6FFC"/>
    <w:rsid w:val="00EF10AC"/>
    <w:rsid w:val="00EF4701"/>
    <w:rsid w:val="00EF564E"/>
    <w:rsid w:val="00EF7CC7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rasoft/tp_fina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tif"/><Relationship Id="rId10" Type="http://schemas.openxmlformats.org/officeDocument/2006/relationships/hyperlink" Target="http://www.ieee.org/organizations/pubs/ani_prod/keywrd98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eywords@ieee.org" TargetMode="External"/><Relationship Id="rId14" Type="http://schemas.openxmlformats.org/officeDocument/2006/relationships/hyperlink" Target="http://www.amdahl.com/doc/products/bsg/intra/infra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9C2A9-E926-4464-B974-31163933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834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5414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Juan</cp:lastModifiedBy>
  <cp:revision>20</cp:revision>
  <cp:lastPrinted>2012-08-02T18:53:00Z</cp:lastPrinted>
  <dcterms:created xsi:type="dcterms:W3CDTF">2012-11-21T16:14:00Z</dcterms:created>
  <dcterms:modified xsi:type="dcterms:W3CDTF">2021-05-17T23:19:00Z</dcterms:modified>
</cp:coreProperties>
</file>