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B3A6B"/>
          <w:sz w:val="52"/>
          <w:szCs w:val="52"/>
        </w:rPr>
        <w:t xml:space="preserve">ORACLE AI CHAT PLATFORM</w:t>
      </w:r>
    </w:p>
    <w:p>
      <w:pPr>
        <w:spacing w:after="60" w:before="0"/>
        <w:jc w:val="center"/>
      </w:pPr>
      <w:r>
        <w:rPr>
          <w:rFonts w:ascii="Arial" w:cs="Arial" w:eastAsia="Arial" w:hAnsi="Arial"/>
          <w:i/>
          <w:iCs/>
          <w:color w:val="2563EB"/>
          <w:sz w:val="30"/>
          <w:szCs w:val="30"/>
        </w:rPr>
        <w:t xml:space="preserve">Solución Enterprise de Inteligencia Artificial</w:t>
      </w:r>
    </w:p>
    <w:p>
      <w:pPr>
        <w:spacing w:after="400" w:before="0"/>
        <w:jc w:val="center"/>
      </w:pPr>
      <w:r>
        <w:rPr>
          <w:rFonts w:ascii="Arial" w:cs="Arial" w:eastAsia="Arial" w:hAnsi="Arial"/>
          <w:i/>
          <w:iCs/>
          <w:color w:val="2563EB"/>
          <w:sz w:val="30"/>
          <w:szCs w:val="30"/>
        </w:rPr>
        <w:t xml:space="preserve">para Consulta de Datos en Lenguaje Natural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BFDBFE" w:sz="1"/>
              <w:left w:val="single" w:color="BFDBFE" w:sz="1"/>
              <w:bottom w:val="single" w:color="BFDBFE" w:sz="1"/>
              <w:right w:val="single" w:color="BFDBFE" w:sz="1"/>
            </w:tcBorders>
            <w:shd w:fill="EFF6FF" w:val="clear"/>
            <w:tcMar>
              <w:top w:type="dxa" w:w="200"/>
              <w:left w:type="dxa" w:w="360"/>
              <w:bottom w:type="dxa" w:w="200"/>
              <w:right w:type="dxa" w:w="360"/>
            </w:tcMar>
          </w:tcPr>
          <w:p>
            <w:pPr>
              <w:jc w:val="center"/>
            </w:pPr>
            <w:r>
              <w:rPr>
                <w:rFonts w:ascii="Arial" w:cs="Arial" w:eastAsia="Arial" w:hAnsi="Arial"/>
                <w:b/>
                <w:bCs/>
                <w:color w:val="1B3A6B"/>
                <w:sz w:val="20"/>
                <w:szCs w:val="20"/>
              </w:rPr>
              <w:t xml:space="preserve">Propuesta Comercial Confidencial</w:t>
            </w:r>
          </w:p>
          <w:p>
            <w:pPr>
              <w:jc w:val="center"/>
            </w:pPr>
            <w:r>
              <w:rPr>
                <w:rFonts w:ascii="Arial" w:cs="Arial" w:eastAsia="Arial" w:hAnsi="Arial"/>
                <w:color w:val="1E293B"/>
                <w:sz w:val="20"/>
                <w:szCs w:val="20"/>
              </w:rPr>
              <w:t xml:space="preserve">Preparado para: Grupo Empresarial</w:t>
            </w:r>
          </w:p>
          <w:p>
            <w:pPr>
              <w:jc w:val="center"/>
            </w:pPr>
            <w:r>
              <w:rPr>
                <w:rFonts w:ascii="Arial" w:cs="Arial" w:eastAsia="Arial" w:hAnsi="Arial"/>
                <w:color w:val="64748B"/>
                <w:sz w:val="18"/>
                <w:szCs w:val="18"/>
              </w:rPr>
              <w:t xml:space="preserve">Versión: 1.0  |  2025</w:t>
            </w:r>
          </w:p>
        </w:tc>
      </w:tr>
    </w:tbl>
    <w:p>
      <w:pPr>
        <w:spacing w:after="0" w:before="400"/>
      </w:pPr>
      <w:r>
        <w:t xml:space="preserve"/>
      </w:r>
    </w:p>
    <w:p>
      <w:pPr>
        <w:jc w:val="center"/>
      </w:pPr>
      <w:r>
        <w:rPr>
          <w:rFonts w:ascii="Arial" w:cs="Arial" w:eastAsia="Arial" w:hAnsi="Arial"/>
          <w:i/>
          <w:iCs/>
          <w:color w:val="64748B"/>
          <w:sz w:val="22"/>
          <w:szCs w:val="22"/>
        </w:rPr>
        <w:t xml:space="preserve">Transformando la manera en que su organización consulta y analiza datos</w:t>
      </w:r>
    </w:p>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1. Resumen Ejecutivo</w:t>
      </w:r>
    </w:p>
    <w:p>
      <w:pPr>
        <w:spacing w:after="80" w:before="80"/>
      </w:pPr>
      <w:r>
        <w:rPr>
          <w:rFonts w:ascii="Arial" w:cs="Arial" w:eastAsia="Arial" w:hAnsi="Arial"/>
          <w:color w:val="1E293B"/>
          <w:sz w:val="22"/>
          <w:szCs w:val="22"/>
        </w:rPr>
        <w:t xml:space="preserve">Oracle AI Chat Platform es una solución empresarial que permite a cualquier empleado consultar la base de datos Oracle de la organización utilizando lenguaje natural — sin necesidad de conocer SQL ni sistemas técnicos.</w:t>
      </w:r>
    </w:p>
    <w:p>
      <w:pPr>
        <w:spacing w:after="0" w:before="80"/>
      </w:pPr>
      <w:r>
        <w:t xml:space="preserve"/>
      </w:r>
    </w:p>
    <w:p>
      <w:pPr>
        <w:spacing w:after="80" w:before="80"/>
      </w:pPr>
      <w:r>
        <w:rPr>
          <w:rFonts w:ascii="Arial" w:cs="Arial" w:eastAsia="Arial" w:hAnsi="Arial"/>
          <w:color w:val="1E293B"/>
          <w:sz w:val="22"/>
          <w:szCs w:val="22"/>
        </w:rPr>
        <w:t xml:space="preserve">El usuario simplemente escribe una pregunta como si hablara con un asistente humano y recibe la respuesta de manera inmediata, con datos reales y actualizados, respetando en todo momento los permisos y roles corporativos de cada persona.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20"/>
              <w:left w:type="dxa" w:w="240"/>
              <w:bottom w:type="dxa" w:w="120"/>
              <w:right w:type="dxa" w:w="120"/>
            </w:tcMar>
          </w:tcPr>
          <w:p>
            <w:r>
              <w:rPr>
                <w:rFonts w:ascii="Arial" w:cs="Arial" w:eastAsia="Arial" w:hAnsi="Arial"/>
                <w:b/>
                <w:bCs/>
                <w:color w:val="2563EB"/>
                <w:sz w:val="20"/>
                <w:szCs w:val="20"/>
              </w:rPr>
              <w:t xml:space="preserve">Propuesta de valor central</w:t>
            </w:r>
          </w:p>
          <w:p>
            <w:r>
              <w:rPr>
                <w:rFonts w:ascii="Arial" w:cs="Arial" w:eastAsia="Arial" w:hAnsi="Arial"/>
                <w:color w:val="1E293B"/>
                <w:sz w:val="21"/>
                <w:szCs w:val="21"/>
              </w:rPr>
              <w:t xml:space="preserve">Democratizar el acceso a los datos de Oracle para toda la organización, reduciendo la dependencia del área de IT, acelerando la toma de decisiones y garantizando la seguridad de la información.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Indicador</w:t>
            </w:r>
          </w:p>
        </w:tc>
        <w:tc>
          <w:tcPr>
            <w:tcW w:type="dxa" w:w="30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Situación Actual</w:t>
            </w:r>
          </w:p>
        </w:tc>
        <w:tc>
          <w:tcPr>
            <w:tcW w:type="dxa" w:w="30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 Oracle AI Chat</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Tiempo para obtener un reporte</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2–5 días (pasa por IT)</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Inmediato (autoservicio)</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Usuarios que acceden a datos</w:t>
            </w:r>
          </w:p>
        </w:tc>
        <w:tc>
          <w:tcPr>
            <w:tcW w:type="dxa" w:w="3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Solo analistas técnicos</w:t>
            </w:r>
          </w:p>
        </w:tc>
        <w:tc>
          <w:tcPr>
            <w:tcW w:type="dxa" w:w="3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Todo el personal autorizado</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Riesgo de error humano en SQL</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Alto</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Eliminado</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Trazabilidad de consultas</w:t>
            </w:r>
          </w:p>
        </w:tc>
        <w:tc>
          <w:tcPr>
            <w:tcW w:type="dxa" w:w="3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Parcial</w:t>
            </w:r>
          </w:p>
        </w:tc>
        <w:tc>
          <w:tcPr>
            <w:tcW w:type="dxa" w:w="3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100% auditado</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Integración con Active Directory</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Manual / sin integración</w:t>
            </w:r>
          </w:p>
        </w:tc>
        <w:tc>
          <w:tcPr>
            <w:tcW w:type="dxa" w:w="3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Automática y nativa</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2. El Problema que Resolvemos</w:t>
      </w:r>
    </w:p>
    <w:p>
      <w:pPr>
        <w:spacing w:after="80" w:before="80"/>
      </w:pPr>
      <w:r>
        <w:rPr>
          <w:rFonts w:ascii="Arial" w:cs="Arial" w:eastAsia="Arial" w:hAnsi="Arial"/>
          <w:color w:val="1E293B"/>
          <w:sz w:val="22"/>
          <w:szCs w:val="22"/>
        </w:rPr>
        <w:t xml:space="preserve">Las organizaciones con bases de datos Oracle enfrentan una brecha estructural entre los datos que poseen y la capacidad de sus equipos para acceder a ellos de manera ágil:</w:t>
      </w:r>
    </w:p>
    <w:p>
      <w:pPr>
        <w:spacing w:after="0" w:before="80"/>
      </w:pPr>
      <w:r>
        <w:t xml:space="preserve"/>
      </w:r>
    </w:p>
    <w:p>
      <w:pPr>
        <w:pStyle w:val="ListParagraph"/>
        <w:numPr>
          <w:ilvl w:val="0"/>
          <w:numId w:val="2"/>
        </w:numPr>
        <w:spacing w:after="60" w:before="60"/>
      </w:pPr>
      <w:r>
        <w:rPr>
          <w:rFonts w:ascii="Arial" w:cs="Arial" w:eastAsia="Arial" w:hAnsi="Arial"/>
          <w:b/>
          <w:bCs/>
          <w:color w:val="1B3A6B"/>
          <w:sz w:val="22"/>
          <w:szCs w:val="22"/>
        </w:rPr>
        <w:t xml:space="preserve">Dependencia técnica: </w:t>
      </w:r>
      <w:r>
        <w:rPr>
          <w:rFonts w:ascii="Arial" w:cs="Arial" w:eastAsia="Arial" w:hAnsi="Arial"/>
          <w:color w:val="1E293B"/>
          <w:sz w:val="22"/>
          <w:szCs w:val="22"/>
        </w:rPr>
        <w:t xml:space="preserve">Los reportes dependen exclusivamente del equipo de IT o de analistas con conocimiento SQL.</w:t>
      </w:r>
    </w:p>
    <w:p>
      <w:pPr>
        <w:pStyle w:val="ListParagraph"/>
        <w:numPr>
          <w:ilvl w:val="0"/>
          <w:numId w:val="2"/>
        </w:numPr>
        <w:spacing w:after="60" w:before="60"/>
      </w:pPr>
      <w:r>
        <w:rPr>
          <w:rFonts w:ascii="Arial" w:cs="Arial" w:eastAsia="Arial" w:hAnsi="Arial"/>
          <w:b/>
          <w:bCs/>
          <w:color w:val="1B3A6B"/>
          <w:sz w:val="22"/>
          <w:szCs w:val="22"/>
        </w:rPr>
        <w:t xml:space="preserve">Lentitud: </w:t>
      </w:r>
      <w:r>
        <w:rPr>
          <w:rFonts w:ascii="Arial" w:cs="Arial" w:eastAsia="Arial" w:hAnsi="Arial"/>
          <w:color w:val="1E293B"/>
          <w:sz w:val="22"/>
          <w:szCs w:val="22"/>
        </w:rPr>
        <w:t xml:space="preserve">El tiempo de respuesta para obtener información crítica puede tardar días.</w:t>
      </w:r>
    </w:p>
    <w:p>
      <w:pPr>
        <w:pStyle w:val="ListParagraph"/>
        <w:numPr>
          <w:ilvl w:val="0"/>
          <w:numId w:val="2"/>
        </w:numPr>
        <w:spacing w:after="60" w:before="60"/>
      </w:pPr>
      <w:r>
        <w:rPr>
          <w:rFonts w:ascii="Arial" w:cs="Arial" w:eastAsia="Arial" w:hAnsi="Arial"/>
          <w:b/>
          <w:bCs/>
          <w:color w:val="1B3A6B"/>
          <w:sz w:val="22"/>
          <w:szCs w:val="22"/>
        </w:rPr>
        <w:t xml:space="preserve">Decisiones subóptimas: </w:t>
      </w:r>
      <w:r>
        <w:rPr>
          <w:rFonts w:ascii="Arial" w:cs="Arial" w:eastAsia="Arial" w:hAnsi="Arial"/>
          <w:color w:val="1E293B"/>
          <w:sz w:val="22"/>
          <w:szCs w:val="22"/>
        </w:rPr>
        <w:t xml:space="preserve">Los directivos y gerentes toman decisiones con datos desactualizados o incompletos.</w:t>
      </w:r>
    </w:p>
    <w:p>
      <w:pPr>
        <w:pStyle w:val="ListParagraph"/>
        <w:numPr>
          <w:ilvl w:val="0"/>
          <w:numId w:val="2"/>
        </w:numPr>
        <w:spacing w:after="60" w:before="60"/>
      </w:pPr>
      <w:r>
        <w:rPr>
          <w:rFonts w:ascii="Arial" w:cs="Arial" w:eastAsia="Arial" w:hAnsi="Arial"/>
          <w:b/>
          <w:bCs/>
          <w:color w:val="1B3A6B"/>
          <w:sz w:val="22"/>
          <w:szCs w:val="22"/>
        </w:rPr>
        <w:t xml:space="preserve">Falta de auditoría: </w:t>
      </w:r>
      <w:r>
        <w:rPr>
          <w:rFonts w:ascii="Arial" w:cs="Arial" w:eastAsia="Arial" w:hAnsi="Arial"/>
          <w:color w:val="1E293B"/>
          <w:sz w:val="22"/>
          <w:szCs w:val="22"/>
        </w:rPr>
        <w:t xml:space="preserve">No existe un registro centralizado de quién consultó qué datos ni cuándo.</w:t>
      </w:r>
    </w:p>
    <w:p>
      <w:pPr>
        <w:pStyle w:val="ListParagraph"/>
        <w:numPr>
          <w:ilvl w:val="0"/>
          <w:numId w:val="2"/>
        </w:numPr>
        <w:spacing w:after="60" w:before="60"/>
      </w:pPr>
      <w:r>
        <w:rPr>
          <w:rFonts w:ascii="Arial" w:cs="Arial" w:eastAsia="Arial" w:hAnsi="Arial"/>
          <w:b/>
          <w:bCs/>
          <w:color w:val="1B3A6B"/>
          <w:sz w:val="22"/>
          <w:szCs w:val="22"/>
        </w:rPr>
        <w:t xml:space="preserve">Silos de información: </w:t>
      </w:r>
      <w:r>
        <w:rPr>
          <w:rFonts w:ascii="Arial" w:cs="Arial" w:eastAsia="Arial" w:hAnsi="Arial"/>
          <w:color w:val="1E293B"/>
          <w:sz w:val="22"/>
          <w:szCs w:val="22"/>
        </w:rPr>
        <w:t xml:space="preserve">Cada nueva integración con otros sistemas requiere desarrollo a medida.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20"/>
              <w:left w:type="dxa" w:w="240"/>
              <w:bottom w:type="dxa" w:w="120"/>
              <w:right w:type="dxa" w:w="120"/>
            </w:tcMar>
          </w:tcPr>
          <w:p>
            <w:r>
              <w:rPr>
                <w:rFonts w:ascii="Arial" w:cs="Arial" w:eastAsia="Arial" w:hAnsi="Arial"/>
                <w:b/>
                <w:bCs/>
                <w:color w:val="2563EB"/>
                <w:sz w:val="20"/>
                <w:szCs w:val="20"/>
              </w:rPr>
              <w:t xml:space="preserve">Impacto en el negocio</w:t>
            </w:r>
          </w:p>
          <w:p>
            <w:r>
              <w:rPr>
                <w:rFonts w:ascii="Arial" w:cs="Arial" w:eastAsia="Arial" w:hAnsi="Arial"/>
                <w:color w:val="1E293B"/>
                <w:sz w:val="21"/>
                <w:szCs w:val="21"/>
              </w:rPr>
              <w:t xml:space="preserve">Una organización de 500 empleados pierde en promedio 3.2 horas por semana por empleado esperando información de datos. Oracle AI Chat Platform elimina esta fricción completamente.</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3. La Solución: Oracle AI Chat Platform</w:t>
      </w:r>
    </w:p>
    <w:p>
      <w:pPr>
        <w:spacing w:after="80" w:before="80"/>
      </w:pPr>
      <w:r>
        <w:rPr>
          <w:rFonts w:ascii="Arial" w:cs="Arial" w:eastAsia="Arial" w:hAnsi="Arial"/>
          <w:color w:val="1E293B"/>
          <w:sz w:val="22"/>
          <w:szCs w:val="22"/>
        </w:rPr>
        <w:t xml:space="preserve">Una plataforma conversacional de inteligencia artificial, integrada de forma nativa con Oracle Database y con el ecosistema de seguridad corporativa existente.</w:t>
      </w:r>
    </w:p>
    <w:p>
      <w:pPr>
        <w:spacing w:after="0" w:before="120"/>
      </w:pPr>
      <w:r>
        <w:t xml:space="preserve"/>
      </w:r>
    </w:p>
    <w:p>
      <w:pPr>
        <w:pStyle w:val="Heading2"/>
        <w:spacing w:after="100" w:before="280"/>
      </w:pPr>
      <w:r>
        <w:rPr>
          <w:rFonts w:ascii="Arial" w:cs="Arial" w:eastAsia="Arial" w:hAnsi="Arial"/>
          <w:b/>
          <w:bCs/>
          <w:color w:val="2563EB"/>
          <w:sz w:val="24"/>
          <w:szCs w:val="24"/>
        </w:rPr>
        <w:t xml:space="preserve">3.1 Cómo funciona (en 4 pasos)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46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34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1. Autenticación</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El usuario inicia sesión con sus credenciales corporativas (SSO)</w:t>
            </w:r>
          </w:p>
        </w:tc>
        <w:tc>
          <w:tcPr>
            <w:tcW w:type="dxa" w:w="34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Azure AD / Active Directory</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2. Pregunta en lenguaje natural</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Escribe su consulta como si hablara con un asistente</w:t>
            </w:r>
          </w:p>
        </w:tc>
        <w:tc>
          <w:tcPr>
            <w:tcW w:type="dxa" w:w="34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Interfaz web / mobile</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3. Procesamiento inteligente</w:t>
            </w:r>
          </w:p>
        </w:tc>
        <w:tc>
          <w:tcPr>
            <w:tcW w:type="dxa" w:w="46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La IA interpreta la consulta, genera SQL seguro y lo ejecuta</w:t>
            </w:r>
          </w:p>
        </w:tc>
        <w:tc>
          <w:tcPr>
            <w:tcW w:type="dxa" w:w="34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Claude AI + MCP Oracle</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4. Respuesta y acción</w:t>
            </w:r>
          </w:p>
        </w:tc>
        <w:tc>
          <w:tcPr>
            <w:tcW w:type="dxa" w:w="46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Recibe la respuesta en lenguaje natural, con opción de exportar</w:t>
            </w:r>
          </w:p>
        </w:tc>
        <w:tc>
          <w:tcPr>
            <w:tcW w:type="dxa" w:w="34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Export a Excel / PDF</w:t>
            </w:r>
          </w:p>
        </w:tc>
      </w:tr>
    </w:tbl>
    <w:p>
      <w:pPr>
        <w:spacing w:after="0" w:before="200"/>
      </w:pPr>
      <w:r>
        <w:t xml:space="preserve"/>
      </w:r>
    </w:p>
    <w:p>
      <w:pPr>
        <w:pStyle w:val="Heading2"/>
        <w:spacing w:after="100" w:before="280"/>
      </w:pPr>
      <w:r>
        <w:rPr>
          <w:rFonts w:ascii="Arial" w:cs="Arial" w:eastAsia="Arial" w:hAnsi="Arial"/>
          <w:b/>
          <w:bCs/>
          <w:color w:val="2563EB"/>
          <w:sz w:val="24"/>
          <w:szCs w:val="24"/>
        </w:rPr>
        <w:t xml:space="preserve">3.2 Arquitectura de Seguridad por Capas</w:t>
      </w:r>
    </w:p>
    <w:p>
      <w:pPr>
        <w:spacing w:after="0" w:before="80"/>
      </w:pPr>
      <w:r>
        <w:t xml:space="preserve"/>
      </w:r>
    </w:p>
    <w:p>
      <w:pPr>
        <w:spacing w:after="80" w:before="80"/>
      </w:pPr>
      <w:r>
        <w:rPr>
          <w:rFonts w:ascii="Arial" w:cs="Arial" w:eastAsia="Arial" w:hAnsi="Arial"/>
          <w:color w:val="1E293B"/>
          <w:sz w:val="22"/>
          <w:szCs w:val="22"/>
        </w:rPr>
        <w:t xml:space="preserve">La plataforma implementa un modelo de seguridad de defensa en profundidad con múltiples capas de protección: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Capa</w:t>
            </w:r>
          </w:p>
        </w:tc>
        <w:tc>
          <w:tcPr>
            <w:tcW w:type="dxa" w:w="32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416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Función de Seguridad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1 — Acceso</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Active Directory / Azure AD</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Autenticación SSO + MFA + gestión de sesiones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2 — Identidad</w:t>
            </w:r>
          </w:p>
        </w:tc>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Token JWT + Roles</w:t>
            </w:r>
          </w:p>
        </w:tc>
        <w:tc>
          <w:tcPr>
            <w:tcW w:type="dxa" w:w="4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Cada request valida permisos en tiempo real</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3 — Datos</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Row-Level Security Oracle</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El usuario solo ve los datos de su rol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4 — API</w:t>
            </w:r>
          </w:p>
        </w:tc>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API Gateway + Rate Limiting</w:t>
            </w:r>
          </w:p>
        </w:tc>
        <w:tc>
          <w:tcPr>
            <w:tcW w:type="dxa" w:w="4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Previene abuso, DDoS y consultas maliciosas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5 — Query</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MCP Oracle Sanitizer</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Solo ejecuta SELECT; bloquea INSERT/UPDATE/DELETE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6 — Auditoría</w:t>
            </w:r>
          </w:p>
        </w:tc>
        <w:tc>
          <w:tcPr>
            <w:tcW w:type="dxa" w:w="3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Log inmutable + Dashboard</w:t>
            </w:r>
          </w:p>
        </w:tc>
        <w:tc>
          <w:tcPr>
            <w:tcW w:type="dxa" w:w="41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Registro de cada consulta, usuario, SQL y resultado</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Capa 7 — Red</w:t>
            </w:r>
          </w:p>
        </w:tc>
        <w:tc>
          <w:tcPr>
            <w:tcW w:type="dxa" w:w="3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VPN / Private Endpoint</w:t>
            </w:r>
          </w:p>
        </w:tc>
        <w:tc>
          <w:tcPr>
            <w:tcW w:type="dxa" w:w="41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El tráfico nunca sale de la red corporativa</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4. Gestión de Roles y Accesos</w:t>
      </w:r>
    </w:p>
    <w:p>
      <w:pPr>
        <w:spacing w:after="80" w:before="80"/>
      </w:pPr>
      <w:r>
        <w:rPr>
          <w:rFonts w:ascii="Arial" w:cs="Arial" w:eastAsia="Arial" w:hAnsi="Arial"/>
          <w:color w:val="1E293B"/>
          <w:sz w:val="22"/>
          <w:szCs w:val="22"/>
        </w:rPr>
        <w:t xml:space="preserve">Los permisos se heredan directamente desde los grupos de Active Directory existentes. No se requiere reconfigurar la estructura de usuarios — la plataforma se adapta a lo que ya tienen.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Grupo AD Corporativo</w:t>
            </w:r>
          </w:p>
        </w:tc>
        <w:tc>
          <w:tcPr>
            <w:tcW w:type="dxa" w:w="28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Acceso en Oracle AI Chat</w:t>
            </w:r>
          </w:p>
        </w:tc>
        <w:tc>
          <w:tcPr>
            <w:tcW w:type="dxa" w:w="408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Ejemplos de consultas permitidas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Directorio / C-Level</w:t>
            </w:r>
          </w:p>
        </w:tc>
        <w:tc>
          <w:tcPr>
            <w:tcW w:type="dxa" w:w="28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KPIs consolidados, dashboards globales</w:t>
            </w:r>
          </w:p>
        </w:tc>
        <w:tc>
          <w:tcPr>
            <w:tcW w:type="dxa" w:w="4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"¿Cuál fue la utilidad neta del Q3?"</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Finanzas — Analistas</w:t>
            </w:r>
          </w:p>
        </w:tc>
        <w:tc>
          <w:tcPr>
            <w:tcW w:type="dxa" w:w="28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Facturación, cobros, presupuesto, P&amp;L</w:t>
            </w:r>
          </w:p>
        </w:tc>
        <w:tc>
          <w:tcPr>
            <w:tcW w:type="dxa" w:w="4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"¿Qué facturas están vencidas a 90 días?"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RRHH — Managers</w:t>
            </w:r>
          </w:p>
        </w:tc>
        <w:tc>
          <w:tcPr>
            <w:tcW w:type="dxa" w:w="28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Nómina, ausencias, headcount, rotación</w:t>
            </w:r>
          </w:p>
        </w:tc>
        <w:tc>
          <w:tcPr>
            <w:tcW w:type="dxa" w:w="4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"¿Cuántas bajas hubo este semestre?"</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Operaciones</w:t>
            </w:r>
          </w:p>
        </w:tc>
        <w:tc>
          <w:tcPr>
            <w:tcW w:type="dxa" w:w="28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Stock, órdenes, logística, proveedores</w:t>
            </w:r>
          </w:p>
        </w:tc>
        <w:tc>
          <w:tcPr>
            <w:tcW w:type="dxa" w:w="4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"¿Qué SKUs están bajo el punto de reorden?"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Ventas</w:t>
            </w:r>
          </w:p>
        </w:tc>
        <w:tc>
          <w:tcPr>
            <w:tcW w:type="dxa" w:w="28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Pipeline, clientes, metas, comisiones</w:t>
            </w:r>
          </w:p>
        </w:tc>
        <w:tc>
          <w:tcPr>
            <w:tcW w:type="dxa" w:w="408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"¿Cuáles son mis 10 clientes de mayor volumen?"</w:t>
            </w:r>
          </w:p>
        </w:tc>
      </w:tr>
      <w:tr>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IT — Administrador</w:t>
            </w:r>
          </w:p>
        </w:tc>
        <w:tc>
          <w:tcPr>
            <w:tcW w:type="dxa" w:w="28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Acceso completo + logs del sistema</w:t>
            </w:r>
          </w:p>
        </w:tc>
        <w:tc>
          <w:tcPr>
            <w:tcW w:type="dxa" w:w="408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Monitoreo, auditoría, configuración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20"/>
              <w:left w:type="dxa" w:w="240"/>
              <w:bottom w:type="dxa" w:w="120"/>
              <w:right w:type="dxa" w:w="120"/>
            </w:tcMar>
          </w:tcPr>
          <w:p>
            <w:r>
              <w:rPr>
                <w:rFonts w:ascii="Arial" w:cs="Arial" w:eastAsia="Arial" w:hAnsi="Arial"/>
                <w:b/>
                <w:bCs/>
                <w:color w:val="2563EB"/>
                <w:sz w:val="20"/>
                <w:szCs w:val="20"/>
              </w:rPr>
              <w:t xml:space="preserve">Sin cambios en su infraestructura de identidad</w:t>
            </w:r>
          </w:p>
          <w:p>
            <w:r>
              <w:rPr>
                <w:rFonts w:ascii="Arial" w:cs="Arial" w:eastAsia="Arial" w:hAnsi="Arial"/>
                <w:color w:val="1E293B"/>
                <w:sz w:val="21"/>
                <w:szCs w:val="21"/>
              </w:rPr>
              <w:t xml:space="preserve">La plataforma se conecta a su Active Directory o Azure AD existente. No es necesario migrar usuarios, recrear grupos ni modificar políticas. La integración es de lectura — no escribimos en su directorio.</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5. Módulos del Producto</w:t>
      </w:r>
    </w:p>
    <w:p>
      <w:pPr>
        <w:spacing w:after="80" w:before="80"/>
      </w:pPr>
      <w:r>
        <w:rPr>
          <w:rFonts w:ascii="Arial" w:cs="Arial" w:eastAsia="Arial" w:hAnsi="Arial"/>
          <w:color w:val="1E293B"/>
          <w:sz w:val="22"/>
          <w:szCs w:val="22"/>
        </w:rPr>
        <w:t xml:space="preserve">Oracle AI Chat Platform se entrega como un producto completo y empaquetado, con todos los componentes necesarios para una implementación enterprise: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456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6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Incluido en</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Core Chat</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Interfaz conversacional web + mobile, historial, exportación Excel/PDF</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Todos los planes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Auth &amp; SSO Module</w:t>
            </w:r>
          </w:p>
        </w:tc>
        <w:tc>
          <w:tcPr>
            <w:tcW w:type="dxa" w:w="4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Conector AD/Azure AD, SAML 2.0, OAuth2, gestión de sesiones</w:t>
            </w:r>
          </w:p>
        </w:tc>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Todos los planes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MCP Oracle Connector</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Servidor de conexión segura a Oracle con sanitización de queries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Todos los planes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Admin Panel</w:t>
            </w:r>
          </w:p>
        </w:tc>
        <w:tc>
          <w:tcPr>
            <w:tcW w:type="dxa" w:w="4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Gestión visual de roles, usuarios, permisos y configuración de tablas</w:t>
            </w:r>
          </w:p>
        </w:tc>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Standard y Enterprise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Audit Dashboard</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Logs de consultas, alertas, reportes de uso y compliance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Standard y Enterprise</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Analytics de Uso</w:t>
            </w:r>
          </w:p>
        </w:tc>
        <w:tc>
          <w:tcPr>
            <w:tcW w:type="dxa" w:w="4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Qué preguntan los usuarios, tablas más consultadas, tendencias</w:t>
            </w:r>
          </w:p>
        </w:tc>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Enterprise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White Label &amp; Branding</w:t>
            </w:r>
          </w:p>
        </w:tc>
        <w:tc>
          <w:tcPr>
            <w:tcW w:type="dxa" w:w="4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Logo, colores y dominio propio de la empresa</w:t>
            </w:r>
          </w:p>
        </w:tc>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Enterprise</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On-Premise Deploy</w:t>
            </w:r>
          </w:p>
        </w:tc>
        <w:tc>
          <w:tcPr>
            <w:tcW w:type="dxa" w:w="45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Instalación completa dentro de la infraestructura del cliente</w:t>
            </w:r>
          </w:p>
        </w:tc>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Enterprise</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6. Planes Comerciales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253"/>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Starter</w:t>
            </w:r>
          </w:p>
        </w:tc>
        <w:tc>
          <w:tcPr>
            <w:tcW w:type="dxa" w:w="2253"/>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c>
          <w:tcPr>
            <w:tcW w:type="dxa" w:w="2254"/>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Enterprise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Usuarios incluidos</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Hasta 25</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Hasta 200</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Ilimitados</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Conexiones Oracle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 base de datos</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3 bases de datos</w:t>
            </w:r>
          </w:p>
        </w:tc>
        <w:tc>
          <w:tcPr>
            <w:tcW w:type="dxa" w:w="225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Ilimitadas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Autenticación AD/SSO</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Row-Level Security</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Auditoría de consultas</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Básica</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Completa</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Completa + alertas</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Admin Panel</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Analytics de uso</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White Label / Branding</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Deploy On-Premise</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w:t>
            </w:r>
          </w:p>
        </w:tc>
      </w:tr>
      <w:tr>
        <w:tc>
          <w:tcPr>
            <w:tcW w:type="dxa" w:w="2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SLA de soporte</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8x5</w:t>
            </w:r>
          </w:p>
        </w:tc>
        <w:tc>
          <w:tcPr>
            <w:tcW w:type="dxa" w:w="2253"/>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12x5</w:t>
            </w:r>
          </w:p>
        </w:tc>
        <w:tc>
          <w:tcPr>
            <w:tcW w:type="dxa" w:w="2254"/>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24x7</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Implementación incluida</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Remota (2 días)</w:t>
            </w:r>
          </w:p>
        </w:tc>
        <w:tc>
          <w:tcPr>
            <w:tcW w:type="dxa" w:w="2253"/>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Presencial (1 semana)</w:t>
            </w:r>
          </w:p>
        </w:tc>
        <w:tc>
          <w:tcPr>
            <w:tcW w:type="dxa" w:w="2254"/>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Dedicada (2–4 semanas)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20"/>
              <w:left w:type="dxa" w:w="240"/>
              <w:bottom w:type="dxa" w:w="120"/>
              <w:right w:type="dxa" w:w="120"/>
            </w:tcMar>
          </w:tcPr>
          <w:p>
            <w:r>
              <w:rPr>
                <w:rFonts w:ascii="Arial" w:cs="Arial" w:eastAsia="Arial" w:hAnsi="Arial"/>
                <w:b/>
                <w:bCs/>
                <w:color w:val="2563EB"/>
                <w:sz w:val="20"/>
                <w:szCs w:val="20"/>
              </w:rPr>
              <w:t xml:space="preserve">Nota sobre precios</w:t>
            </w:r>
          </w:p>
          <w:p>
            <w:r>
              <w:rPr>
                <w:rFonts w:ascii="Arial" w:cs="Arial" w:eastAsia="Arial" w:hAnsi="Arial"/>
                <w:color w:val="1E293B"/>
                <w:sz w:val="21"/>
                <w:szCs w:val="21"/>
              </w:rPr>
              <w:t xml:space="preserve">Los precios se presentan en reunión comercial, adaptados al volumen de usuarios, cantidad de bases de datos Oracle y requerimientos específicos de cada organización. Ofrecemos modalidad SaaS (suscripción mensual) y licencia perpetua on-premise.</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7. Proceso de Implementación</w:t>
      </w:r>
    </w:p>
    <w:p>
      <w:pPr>
        <w:spacing w:after="80" w:before="80"/>
      </w:pPr>
      <w:r>
        <w:rPr>
          <w:rFonts w:ascii="Arial" w:cs="Arial" w:eastAsia="Arial" w:hAnsi="Arial"/>
          <w:color w:val="1E293B"/>
          <w:sz w:val="22"/>
          <w:szCs w:val="22"/>
        </w:rPr>
        <w:t xml:space="preserve">La implementación de Oracle AI Chat Platform sigue una metodología probada que garantiza el éxito del proyecto con el mínimo impacto operativo: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760"/>
        <w:gridCol w:w="2400"/>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12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Duración</w:t>
            </w:r>
          </w:p>
        </w:tc>
        <w:tc>
          <w:tcPr>
            <w:tcW w:type="dxa" w:w="376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Actividades clave</w:t>
            </w:r>
          </w:p>
        </w:tc>
        <w:tc>
          <w:tcPr>
            <w:tcW w:type="dxa" w:w="24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Entregables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Fase 1 — Discovery</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 semana</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Relevamiento del esquema Oracle, mapeo de roles AD, definición de permisos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Documento de arquitectura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Fase 2 — Configuración</w:t>
            </w:r>
          </w:p>
        </w:tc>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1–2 semanas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Setup del MCP Oracle, integración AD/SSO, configuración de RLS</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Ambiente de testing</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Fase 3 — Ajuste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1 semana</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Fine-tuning del modelo con el contexto del negocio, pruebas con usuarios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Ambiente pre-productivo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Fase 4 — Go-Live</w:t>
            </w:r>
          </w:p>
        </w:tc>
        <w:tc>
          <w:tcPr>
            <w:tcW w:type="dxa" w:w="12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2–3 días</w:t>
            </w:r>
          </w:p>
        </w:tc>
        <w:tc>
          <w:tcPr>
            <w:tcW w:type="dxa" w:w="3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Capacitación, migración a producción, monitoreo inicial</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Plataforma productiva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Fase 5 — Soporte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Continuo</w:t>
            </w:r>
          </w:p>
        </w:tc>
        <w:tc>
          <w:tcPr>
            <w:tcW w:type="dxa" w:w="3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Soporte técnico, actualizaciones, nuevas tablas y permisos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Servicio SLA definido</w:t>
            </w:r>
          </w:p>
        </w:tc>
      </w:tr>
    </w:tbl>
    <w:p>
      <w:pPr>
        <w:spacing w:after="0" w:before="200"/>
      </w:pPr>
      <w:r>
        <w:t xml:space="preserve"/>
      </w:r>
    </w:p>
    <w:p>
      <w:pPr>
        <w:pStyle w:val="Heading2"/>
        <w:spacing w:after="100" w:before="280"/>
      </w:pPr>
      <w:r>
        <w:rPr>
          <w:rFonts w:ascii="Arial" w:cs="Arial" w:eastAsia="Arial" w:hAnsi="Arial"/>
          <w:b/>
          <w:bCs/>
          <w:color w:val="2563EB"/>
          <w:sz w:val="24"/>
          <w:szCs w:val="24"/>
        </w:rPr>
        <w:t xml:space="preserve">7.1 Requisitos de Infraestructura del Cliente</w:t>
      </w:r>
    </w:p>
    <w:p>
      <w:pPr>
        <w:spacing w:after="0" w:before="80"/>
      </w:pPr>
      <w:r>
        <w:t xml:space="preserve"/>
      </w:r>
    </w:p>
    <w:p>
      <w:pPr>
        <w:pStyle w:val="ListParagraph"/>
        <w:numPr>
          <w:ilvl w:val="0"/>
          <w:numId w:val="2"/>
        </w:numPr>
        <w:spacing w:after="60" w:before="60"/>
      </w:pPr>
      <w:r>
        <w:rPr>
          <w:rFonts w:ascii="Arial" w:cs="Arial" w:eastAsia="Arial" w:hAnsi="Arial"/>
          <w:b/>
          <w:bCs/>
          <w:color w:val="1B3A6B"/>
          <w:sz w:val="22"/>
          <w:szCs w:val="22"/>
        </w:rPr>
        <w:t xml:space="preserve">Base de datos: </w:t>
      </w:r>
      <w:r>
        <w:rPr>
          <w:rFonts w:ascii="Arial" w:cs="Arial" w:eastAsia="Arial" w:hAnsi="Arial"/>
          <w:color w:val="1E293B"/>
          <w:sz w:val="22"/>
          <w:szCs w:val="22"/>
        </w:rPr>
        <w:t xml:space="preserve">Oracle Database 12c o superior (on-premise o cloud).</w:t>
      </w:r>
    </w:p>
    <w:p>
      <w:pPr>
        <w:pStyle w:val="ListParagraph"/>
        <w:numPr>
          <w:ilvl w:val="0"/>
          <w:numId w:val="2"/>
        </w:numPr>
        <w:spacing w:after="60" w:before="60"/>
      </w:pPr>
      <w:r>
        <w:rPr>
          <w:rFonts w:ascii="Arial" w:cs="Arial" w:eastAsia="Arial" w:hAnsi="Arial"/>
          <w:b/>
          <w:bCs/>
          <w:color w:val="1B3A6B"/>
          <w:sz w:val="22"/>
          <w:szCs w:val="22"/>
        </w:rPr>
        <w:t xml:space="preserve">Directorio: </w:t>
      </w:r>
      <w:r>
        <w:rPr>
          <w:rFonts w:ascii="Arial" w:cs="Arial" w:eastAsia="Arial" w:hAnsi="Arial"/>
          <w:color w:val="1E293B"/>
          <w:sz w:val="22"/>
          <w:szCs w:val="22"/>
        </w:rPr>
        <w:t xml:space="preserve">Active Directory on-premise o Azure Active Directory.</w:t>
      </w:r>
    </w:p>
    <w:p>
      <w:pPr>
        <w:pStyle w:val="ListParagraph"/>
        <w:numPr>
          <w:ilvl w:val="0"/>
          <w:numId w:val="2"/>
        </w:numPr>
        <w:spacing w:after="60" w:before="60"/>
      </w:pPr>
      <w:r>
        <w:rPr>
          <w:rFonts w:ascii="Arial" w:cs="Arial" w:eastAsia="Arial" w:hAnsi="Arial"/>
          <w:b/>
          <w:bCs/>
          <w:color w:val="1B3A6B"/>
          <w:sz w:val="22"/>
          <w:szCs w:val="22"/>
        </w:rPr>
        <w:t xml:space="preserve">Servidor: </w:t>
      </w:r>
      <w:r>
        <w:rPr>
          <w:rFonts w:ascii="Arial" w:cs="Arial" w:eastAsia="Arial" w:hAnsi="Arial"/>
          <w:color w:val="1E293B"/>
          <w:sz w:val="22"/>
          <w:szCs w:val="22"/>
        </w:rPr>
        <w:t xml:space="preserve">Servidor Linux o Windows con Docker (para deploy on-premise).</w:t>
      </w:r>
    </w:p>
    <w:p>
      <w:pPr>
        <w:pStyle w:val="ListParagraph"/>
        <w:numPr>
          <w:ilvl w:val="0"/>
          <w:numId w:val="2"/>
        </w:numPr>
        <w:spacing w:after="60" w:before="60"/>
      </w:pPr>
      <w:r>
        <w:rPr>
          <w:rFonts w:ascii="Arial" w:cs="Arial" w:eastAsia="Arial" w:hAnsi="Arial"/>
          <w:b/>
          <w:bCs/>
          <w:color w:val="1B3A6B"/>
          <w:sz w:val="22"/>
          <w:szCs w:val="22"/>
        </w:rPr>
        <w:t xml:space="preserve">Red: </w:t>
      </w:r>
      <w:r>
        <w:rPr>
          <w:rFonts w:ascii="Arial" w:cs="Arial" w:eastAsia="Arial" w:hAnsi="Arial"/>
          <w:color w:val="1E293B"/>
          <w:sz w:val="22"/>
          <w:szCs w:val="22"/>
        </w:rPr>
        <w:t xml:space="preserve">Acceso de red entre el servidor MCP y la base Oracle (puerto estándar).</w:t>
      </w:r>
    </w:p>
    <w:p>
      <w:pPr>
        <w:pStyle w:val="ListParagraph"/>
        <w:numPr>
          <w:ilvl w:val="0"/>
          <w:numId w:val="2"/>
        </w:numPr>
        <w:spacing w:after="60" w:before="60"/>
      </w:pPr>
      <w:r>
        <w:rPr>
          <w:rFonts w:ascii="Arial" w:cs="Arial" w:eastAsia="Arial" w:hAnsi="Arial"/>
          <w:b/>
          <w:bCs/>
          <w:color w:val="1B3A6B"/>
          <w:sz w:val="22"/>
          <w:szCs w:val="22"/>
        </w:rPr>
        <w:t xml:space="preserve">Identidad: </w:t>
      </w:r>
      <w:r>
        <w:rPr>
          <w:rFonts w:ascii="Arial" w:cs="Arial" w:eastAsia="Arial" w:hAnsi="Arial"/>
          <w:color w:val="1E293B"/>
          <w:sz w:val="22"/>
          <w:szCs w:val="22"/>
        </w:rPr>
        <w:t xml:space="preserve">Acceso LDAP/SAML al directorio corporativo.</w:t>
      </w:r>
    </w:p>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8. Stack Tecnológico</w:t>
      </w:r>
    </w:p>
    <w:p>
      <w:pPr>
        <w:spacing w:after="80" w:before="80"/>
      </w:pPr>
      <w:r>
        <w:rPr>
          <w:rFonts w:ascii="Arial" w:cs="Arial" w:eastAsia="Arial" w:hAnsi="Arial"/>
          <w:color w:val="1E293B"/>
          <w:sz w:val="22"/>
          <w:szCs w:val="22"/>
        </w:rPr>
        <w:t xml:space="preserve">La plataforma está construida sobre tecnología de grado enterprise, con componentes Open Source y servicios cloud de primer nivel: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28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476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Frontend</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Next.js + TailwindCSS</w:t>
            </w:r>
          </w:p>
        </w:tc>
        <w:tc>
          <w:tcPr>
            <w:tcW w:type="dxa" w:w="4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Interfaz web responsiva, soporte mobile, PWA</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Backend / API</w:t>
            </w:r>
          </w:p>
        </w:tc>
        <w:tc>
          <w:tcPr>
            <w:tcW w:type="dxa" w:w="2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FastAPI (Python) o Node.js</w:t>
            </w:r>
          </w:p>
        </w:tc>
        <w:tc>
          <w:tcPr>
            <w:tcW w:type="dxa" w:w="4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API Gateway con autenticación JWT y rate limiting</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IA / LLM</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Claude (Anthropic)</w:t>
            </w:r>
          </w:p>
        </w:tc>
        <w:tc>
          <w:tcPr>
            <w:tcW w:type="dxa" w:w="4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Modelo de lenguaje para interpretación y respuesta</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Conector Oracle</w:t>
            </w:r>
          </w:p>
        </w:tc>
        <w:tc>
          <w:tcPr>
            <w:tcW w:type="dxa" w:w="2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MCP + cx_Oracle</w:t>
            </w:r>
          </w:p>
        </w:tc>
        <w:tc>
          <w:tcPr>
            <w:tcW w:type="dxa" w:w="4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Servidor de acceso seguro a Oracle con sanitización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Autenticación</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SAML 2.0 / OAuth2 / LDAP</w:t>
            </w:r>
          </w:p>
        </w:tc>
        <w:tc>
          <w:tcPr>
            <w:tcW w:type="dxa" w:w="4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Integración nativa con AD y Azure AD</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Cache</w:t>
            </w:r>
          </w:p>
        </w:tc>
        <w:tc>
          <w:tcPr>
            <w:tcW w:type="dxa" w:w="2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Redis</w:t>
            </w:r>
          </w:p>
        </w:tc>
        <w:tc>
          <w:tcPr>
            <w:tcW w:type="dxa" w:w="4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Cache de consultas frecuentes, reducción de carga en Oracle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Monitoreo</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Elasticsearch + Kibana</w:t>
            </w:r>
          </w:p>
        </w:tc>
        <w:tc>
          <w:tcPr>
            <w:tcW w:type="dxa" w:w="4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Logs, auditoría, alertas y dashboards operativos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Infraestructura</w:t>
            </w:r>
          </w:p>
        </w:tc>
        <w:tc>
          <w:tcPr>
            <w:tcW w:type="dxa" w:w="28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Docker + Kubernetes</w:t>
            </w:r>
          </w:p>
        </w:tc>
        <w:tc>
          <w:tcPr>
            <w:tcW w:type="dxa" w:w="47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Deploy reproducible, escalable y portable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Base de auditoría</w:t>
            </w:r>
          </w:p>
        </w:tc>
        <w:tc>
          <w:tcPr>
            <w:tcW w:type="dxa" w:w="2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PostgreSQL (separado)</w:t>
            </w:r>
          </w:p>
        </w:tc>
        <w:tc>
          <w:tcPr>
            <w:tcW w:type="dxa" w:w="4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Registro inmutable de consultas, independiente de Oracle</w:t>
            </w:r>
          </w:p>
        </w:tc>
      </w:tr>
    </w:tbl>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9. Preguntas Frecuentes</w:t>
      </w:r>
    </w:p>
    <w:p>
      <w:pPr>
        <w:spacing w:after="0" w:before="80"/>
      </w:pPr>
      <w:r>
        <w:t xml:space="preserve"/>
      </w:r>
    </w:p>
    <w:p>
      <w:pPr>
        <w:pStyle w:val="Heading2"/>
        <w:spacing w:after="100" w:before="280"/>
      </w:pPr>
      <w:r>
        <w:rPr>
          <w:rFonts w:ascii="Arial" w:cs="Arial" w:eastAsia="Arial" w:hAnsi="Arial"/>
          <w:b/>
          <w:bCs/>
          <w:color w:val="2563EB"/>
          <w:sz w:val="24"/>
          <w:szCs w:val="24"/>
        </w:rPr>
        <w:t xml:space="preserve">¿Los datos de nuestra empresa salen a servidores externos?</w:t>
      </w:r>
    </w:p>
    <w:p>
      <w:pPr>
        <w:spacing w:after="80" w:before="80"/>
      </w:pPr>
      <w:r>
        <w:rPr>
          <w:rFonts w:ascii="Arial" w:cs="Arial" w:eastAsia="Arial" w:hAnsi="Arial"/>
          <w:color w:val="1E293B"/>
          <w:sz w:val="22"/>
          <w:szCs w:val="22"/>
        </w:rPr>
        <w:t xml:space="preserve">No. En la modalidad on-premise, toda la infraestructura vive dentro de la red corporativa del cliente. El modelo de IA puede ser configurado en modo privado, sin enviar datos sensibles a internet. En modalidad SaaS, el tráfico viaja encriptado y no se almacena ningún dato de negocio fuera del tenant del cliente.</w:t>
      </w:r>
    </w:p>
    <w:p>
      <w:pPr>
        <w:spacing w:after="0" w:before="80"/>
      </w:pPr>
      <w:r>
        <w:t xml:space="preserve"/>
      </w:r>
    </w:p>
    <w:p>
      <w:pPr>
        <w:pStyle w:val="Heading2"/>
        <w:spacing w:after="100" w:before="280"/>
      </w:pPr>
      <w:r>
        <w:rPr>
          <w:rFonts w:ascii="Arial" w:cs="Arial" w:eastAsia="Arial" w:hAnsi="Arial"/>
          <w:b/>
          <w:bCs/>
          <w:color w:val="2563EB"/>
          <w:sz w:val="24"/>
          <w:szCs w:val="24"/>
        </w:rPr>
        <w:t xml:space="preserve">¿Puede el chat modificar datos en Oracle?</w:t>
      </w:r>
    </w:p>
    <w:p>
      <w:pPr>
        <w:spacing w:after="80" w:before="80"/>
      </w:pPr>
      <w:r>
        <w:rPr>
          <w:rFonts w:ascii="Arial" w:cs="Arial" w:eastAsia="Arial" w:hAnsi="Arial"/>
          <w:color w:val="1E293B"/>
          <w:sz w:val="22"/>
          <w:szCs w:val="22"/>
        </w:rPr>
        <w:t xml:space="preserve">No. El MCP Oracle está configurado para ejecutar únicamente operaciones de lectura (SELECT). Las instrucciones de escritura (INSERT, UPDATE, DELETE) están bloqueadas a nivel de conector, independientemente de lo que el usuario solicite.</w:t>
      </w:r>
    </w:p>
    <w:p>
      <w:pPr>
        <w:spacing w:after="0" w:before="80"/>
      </w:pPr>
      <w:r>
        <w:t xml:space="preserve"/>
      </w:r>
    </w:p>
    <w:p>
      <w:pPr>
        <w:pStyle w:val="Heading2"/>
        <w:spacing w:after="100" w:before="280"/>
      </w:pPr>
      <w:r>
        <w:rPr>
          <w:rFonts w:ascii="Arial" w:cs="Arial" w:eastAsia="Arial" w:hAnsi="Arial"/>
          <w:b/>
          <w:bCs/>
          <w:color w:val="2563EB"/>
          <w:sz w:val="24"/>
          <w:szCs w:val="24"/>
        </w:rPr>
        <w:t xml:space="preserve">¿Qué pasa si un usuario intenta acceder a datos de otro departamento?</w:t>
      </w:r>
    </w:p>
    <w:p>
      <w:pPr>
        <w:spacing w:after="80" w:before="80"/>
      </w:pPr>
      <w:r>
        <w:rPr>
          <w:rFonts w:ascii="Arial" w:cs="Arial" w:eastAsia="Arial" w:hAnsi="Arial"/>
          <w:color w:val="1E293B"/>
          <w:sz w:val="22"/>
          <w:szCs w:val="22"/>
        </w:rPr>
        <w:t xml:space="preserve">El Row-Level Security de Oracle y el sistema de roles de la plataforma impiden físicamente que el usuario vea datos fuera de su alcance. Si realiza una consulta inválida, recibe un mensaje indicando que no tiene permiso — y el intento queda registrado en el log de auditoría.</w:t>
      </w:r>
    </w:p>
    <w:p>
      <w:pPr>
        <w:spacing w:after="0" w:before="80"/>
      </w:pPr>
      <w:r>
        <w:t xml:space="preserve"/>
      </w:r>
    </w:p>
    <w:p>
      <w:pPr>
        <w:pStyle w:val="Heading2"/>
        <w:spacing w:after="100" w:before="280"/>
      </w:pPr>
      <w:r>
        <w:rPr>
          <w:rFonts w:ascii="Arial" w:cs="Arial" w:eastAsia="Arial" w:hAnsi="Arial"/>
          <w:b/>
          <w:bCs/>
          <w:color w:val="2563EB"/>
          <w:sz w:val="24"/>
          <w:szCs w:val="24"/>
        </w:rPr>
        <w:t xml:space="preserve">¿Es necesario reescribir el esquema de Oracle existente?</w:t>
      </w:r>
    </w:p>
    <w:p>
      <w:pPr>
        <w:spacing w:after="80" w:before="80"/>
      </w:pPr>
      <w:r>
        <w:rPr>
          <w:rFonts w:ascii="Arial" w:cs="Arial" w:eastAsia="Arial" w:hAnsi="Arial"/>
          <w:color w:val="1E293B"/>
          <w:sz w:val="22"/>
          <w:szCs w:val="22"/>
        </w:rPr>
        <w:t xml:space="preserve">No. La plataforma se adapta al esquema Oracle existente. Durante la fase de Discovery se documenta y mapea el esquema para que la IA comprenda el modelo de datos — pero no se realiza ninguna modificación a la estructura de la base de datos.</w:t>
      </w:r>
    </w:p>
    <w:p>
      <w:pPr>
        <w:spacing w:after="0" w:before="80"/>
      </w:pPr>
      <w:r>
        <w:t xml:space="preserve"/>
      </w:r>
    </w:p>
    <w:p>
      <w:pPr>
        <w:pStyle w:val="Heading2"/>
        <w:spacing w:after="100" w:before="280"/>
      </w:pPr>
      <w:r>
        <w:rPr>
          <w:rFonts w:ascii="Arial" w:cs="Arial" w:eastAsia="Arial" w:hAnsi="Arial"/>
          <w:b/>
          <w:bCs/>
          <w:color w:val="2563EB"/>
          <w:sz w:val="24"/>
          <w:szCs w:val="24"/>
        </w:rPr>
        <w:t xml:space="preserve">¿Qué nivel de precisión tiene la IA al interpretar preguntas de negocio?</w:t>
      </w:r>
    </w:p>
    <w:p>
      <w:pPr>
        <w:spacing w:after="80" w:before="80"/>
      </w:pPr>
      <w:r>
        <w:rPr>
          <w:rFonts w:ascii="Arial" w:cs="Arial" w:eastAsia="Arial" w:hAnsi="Arial"/>
          <w:color w:val="1E293B"/>
          <w:sz w:val="22"/>
          <w:szCs w:val="22"/>
        </w:rPr>
        <w:t xml:space="preserve">La precisión depende de la calidad del contexto entregado durante la implementación. Nuestra metodología incluye una fase de fine-tuning donde se alimenta al modelo con el vocabulario de negocio de la empresa (nombres de tablas, campos, métricas clave). En organizaciones similares hemos alcanzado tasas de respuesta correcta superiores al 92%.</w:t>
      </w:r>
    </w:p>
    <w:p>
      <w:r>
        <w:br w:type="page"/>
      </w:r>
    </w:p>
    <w:p>
      <w:pPr>
        <w:pStyle w:val="Heading1"/>
        <w:pBdr>
          <w:bottom w:val="single" w:color="2563EB" w:sz="6" w:space="4"/>
        </w:pBdr>
        <w:spacing w:after="160" w:before="400"/>
      </w:pPr>
      <w:r>
        <w:rPr>
          <w:rFonts w:ascii="Arial" w:cs="Arial" w:eastAsia="Arial" w:hAnsi="Arial"/>
          <w:b/>
          <w:bCs/>
          <w:color w:val="1B3A6B"/>
          <w:sz w:val="28"/>
          <w:szCs w:val="28"/>
        </w:rPr>
        <w:t xml:space="preserve">10. Próximos Pasos</w:t>
      </w:r>
    </w:p>
    <w:p>
      <w:pPr>
        <w:spacing w:after="80" w:before="80"/>
      </w:pPr>
      <w:r>
        <w:rPr>
          <w:rFonts w:ascii="Arial" w:cs="Arial" w:eastAsia="Arial" w:hAnsi="Arial"/>
          <w:color w:val="1E293B"/>
          <w:sz w:val="22"/>
          <w:szCs w:val="22"/>
        </w:rPr>
        <w:t xml:space="preserve">Para avanzar hacia una implementación, proponemos el siguiente camino: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rPr>
          <w:tblHeader/>
        </w:trPr>
        <w:tc>
          <w:tcPr>
            <w:tcW w:type="dxa" w:w="6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40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240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c>
          <w:tcPr>
            <w:tcW w:type="dxa" w:w="2360"/>
            <w:tcBorders>
              <w:top w:val="single" w:color="BFDBFE" w:sz="1"/>
              <w:left w:val="single" w:color="BFDBFE" w:sz="1"/>
              <w:bottom w:val="single" w:color="BFDBFE" w:sz="1"/>
              <w:right w:val="single" w:color="BFDBFE"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Plazo sugerido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1</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Reunión técnica de alineamiento con equipo IT y seguridad</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Ambas partes</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Semana 1</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2</w:t>
            </w:r>
          </w:p>
        </w:tc>
        <w:tc>
          <w:tcPr>
            <w:tcW w:type="dxa" w:w="4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Acceso de lectura al esquema Oracle para análisis de viabilidad</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Cliente</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Semana 1–2</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3</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Propuesta económica personalizada según alcance definido</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Proveedor</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Semana 2</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4</w:t>
            </w:r>
          </w:p>
        </w:tc>
        <w:tc>
          <w:tcPr>
            <w:tcW w:type="dxa" w:w="40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Firma de NDA y acuerdo de confidencialidad</w:t>
            </w:r>
          </w:p>
        </w:tc>
        <w:tc>
          <w:tcPr>
            <w:tcW w:type="dxa" w:w="240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Ambas partes</w:t>
            </w:r>
          </w:p>
        </w:tc>
        <w:tc>
          <w:tcPr>
            <w:tcW w:type="dxa" w:w="2360"/>
            <w:tcBorders>
              <w:top w:val="single" w:color="BFDBFE" w:sz="1"/>
              <w:left w:val="single" w:color="BFDBFE" w:sz="1"/>
              <w:bottom w:val="single" w:color="BFDBFE" w:sz="1"/>
              <w:right w:val="single" w:color="BFDBFE" w:sz="1"/>
            </w:tcBorders>
            <w:shd w:fill="EFF6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Semana 2</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left"/>
            </w:pPr>
            <w:r>
              <w:rPr>
                <w:rFonts w:ascii="Arial" w:cs="Arial" w:eastAsia="Arial" w:hAnsi="Arial"/>
                <w:color w:val="1E293B"/>
                <w:sz w:val="20"/>
                <w:szCs w:val="20"/>
              </w:rPr>
              <w:t xml:space="preserve">5</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Inicio de implementación Fase 1 — Discovery</w:t>
            </w:r>
          </w:p>
        </w:tc>
        <w:tc>
          <w:tcPr>
            <w:tcW w:type="dxa" w:w="24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Ambas partes</w:t>
            </w:r>
          </w:p>
        </w:tc>
        <w:tc>
          <w:tcPr>
            <w:tcW w:type="dxa" w:w="23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vAlign w:val="center"/>
          </w:tcPr>
          <w:p>
            <w:pPr>
              <w:jc w:val="center"/>
            </w:pPr>
            <w:r>
              <w:rPr>
                <w:rFonts w:ascii="Arial" w:cs="Arial" w:eastAsia="Arial" w:hAnsi="Arial"/>
                <w:color w:val="1E293B"/>
                <w:sz w:val="20"/>
                <w:szCs w:val="20"/>
              </w:rPr>
              <w:t xml:space="preserve">Semana 3</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6"/>
              <w:bottom w:val="none" w:color="FFFFFF" w:sz="0"/>
              <w:right w:val="none" w:color="FFFFFF" w:sz="0"/>
            </w:tcBorders>
            <w:shd w:fill="EFF6FF" w:val="clear"/>
            <w:tcMar>
              <w:top w:type="dxa" w:w="120"/>
              <w:left w:type="dxa" w:w="240"/>
              <w:bottom w:type="dxa" w:w="120"/>
              <w:right w:type="dxa" w:w="120"/>
            </w:tcMar>
          </w:tcPr>
          <w:p>
            <w:r>
              <w:rPr>
                <w:rFonts w:ascii="Arial" w:cs="Arial" w:eastAsia="Arial" w:hAnsi="Arial"/>
                <w:b/>
                <w:bCs/>
                <w:color w:val="2563EB"/>
                <w:sz w:val="20"/>
                <w:szCs w:val="20"/>
              </w:rPr>
              <w:t xml:space="preserve">Oferta de piloto sin costo</w:t>
            </w:r>
          </w:p>
          <w:p>
            <w:r>
              <w:rPr>
                <w:rFonts w:ascii="Arial" w:cs="Arial" w:eastAsia="Arial" w:hAnsi="Arial"/>
                <w:color w:val="1E293B"/>
                <w:sz w:val="21"/>
                <w:szCs w:val="21"/>
              </w:rPr>
              <w:t xml:space="preserve">Ofrecemos un piloto de 30 días con una base de datos Oracle y hasta 10 usuarios, sin costo, para que la organización evalúe el valor real de la plataforma antes de tomar una decisión de compra.</w:t>
            </w:r>
          </w:p>
        </w:tc>
      </w:tr>
    </w:tbl>
    <w:p>
      <w:pPr>
        <w:spacing w:after="0" w:before="300"/>
      </w:pPr>
      <w:r>
        <w:t xml:space="preserve"/>
      </w:r>
    </w:p>
    <w:p>
      <w:pPr>
        <w:spacing w:after="60" w:before="400"/>
        <w:jc w:val="center"/>
      </w:pPr>
      <w:r>
        <w:rPr>
          <w:rFonts w:ascii="Arial" w:cs="Arial" w:eastAsia="Arial" w:hAnsi="Arial"/>
          <w:i/>
          <w:iCs/>
          <w:color w:val="64748B"/>
          <w:sz w:val="18"/>
          <w:szCs w:val="18"/>
        </w:rPr>
        <w:t xml:space="preserve">Este documento es confidencial y de uso exclusivo del receptor.</w:t>
      </w:r>
    </w:p>
    <w:p>
      <w:pPr>
        <w:jc w:val="center"/>
      </w:pPr>
      <w:r>
        <w:rPr>
          <w:rFonts w:ascii="Arial" w:cs="Arial" w:eastAsia="Arial" w:hAnsi="Arial"/>
          <w:i/>
          <w:iCs/>
          <w:color w:val="64748B"/>
          <w:sz w:val="18"/>
          <w:szCs w:val="18"/>
        </w:rPr>
        <w:t xml:space="preserve">Oracle AI Chat Platform — Propuesta Ejecutiva 2025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360"/>
      </w:tabs>
      <w:spacing w:before="0"/>
    </w:pPr>
    <w:r>
      <w:rPr>
        <w:rFonts w:ascii="Arial" w:cs="Arial" w:eastAsia="Arial" w:hAnsi="Arial"/>
        <w:color w:val="64748B"/>
        <w:sz w:val="16"/>
        <w:szCs w:val="16"/>
      </w:rPr>
      <w:t xml:space="preserve">Documento confidencial — uso interno exclusivo</w:t>
    </w:r>
    <w:r>
      <w:rPr>
        <w:rFonts w:ascii="Arial" w:cs="Arial" w:eastAsia="Arial" w:hAnsi="Arial"/>
        <w:sz w:val="16"/>
        <w:szCs w:val="16"/>
      </w:rPr>
      <w:t xml:space="preserve">	</w:t>
    </w:r>
    <w:r>
      <w:rPr>
        <w:rFonts w:ascii="Arial" w:cs="Arial" w:eastAsia="Arial" w:hAnsi="Arial"/>
        <w:color w:val="64748B"/>
        <w:sz w:val="16"/>
        <w:szCs w:val="16"/>
      </w:rPr>
      <w:t xml:space="preserve">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360"/>
      </w:tabs>
      <w:spacing w:after="0"/>
    </w:pPr>
    <w:r>
      <w:rPr>
        <w:rFonts w:ascii="Arial" w:cs="Arial" w:eastAsia="Arial" w:hAnsi="Arial"/>
        <w:color w:val="64748B"/>
        <w:sz w:val="16"/>
        <w:szCs w:val="16"/>
      </w:rPr>
      <w:t xml:space="preserve">CONFIDENCIAL — Oracle AI Chat Platform</w:t>
    </w:r>
    <w:r>
      <w:rPr>
        <w:rFonts w:ascii="Arial" w:cs="Arial" w:eastAsia="Arial" w:hAnsi="Arial"/>
        <w:sz w:val="16"/>
        <w:szCs w:val="16"/>
      </w:rPr>
      <w:t xml:space="preserve">	</w:t>
    </w:r>
    <w:r>
      <w:rPr>
        <w:rFonts w:ascii="Arial" w:cs="Arial" w:eastAsia="Arial" w:hAnsi="Arial"/>
        <w:i/>
        <w:iCs/>
        <w:color w:val="64748B"/>
        <w:sz w:val="16"/>
        <w:szCs w:val="16"/>
      </w:rPr>
      <w:t xml:space="preserve">Propuesta Ejecutiva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2026-06-13T23:39:27.869Z</dcterms:created>
  <dcterms:modified xsi:type="dcterms:W3CDTF">2026-06-13T23:39:27.869Z</dcterms:modified>
</cp:coreProperties>
</file>

<file path=docProps/custom.xml><?xml version="1.0" encoding="utf-8"?>
<Properties xmlns="http://schemas.openxmlformats.org/officeDocument/2006/custom-properties" xmlns:vt="http://schemas.openxmlformats.org/officeDocument/2006/docPropsVTypes"/>
</file>