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4F46E5"/>
          <w:sz w:val="48"/>
        </w:rPr>
        <w:t>PROPOSAL &amp; BAHAN PRESENTASI SISTEM ARTALEDGER</w:t>
      </w:r>
    </w:p>
    <w:p>
      <w:pPr>
        <w:spacing w:after="280"/>
      </w:pPr>
      <w:r>
        <w:rPr>
          <w:rFonts w:ascii="Calibri" w:hAnsi="Calibri"/>
          <w:color w:val="1E293B"/>
          <w:sz w:val="26"/>
        </w:rPr>
        <w:t>Penyajian Komprehensif Arsitektur, Kinerja Finansial &amp; Roadmap ERP Menggunakan Kerangka Analisa 5W + 1H</w:t>
      </w:r>
    </w:p>
    <w:tbl>
      <w:tblPr>
        <w:tblW w:type="auto" w:w="0"/>
        <w:jc w:val="center"/>
        <w:tblLook w:firstColumn="1" w:firstRow="1" w:lastColumn="0" w:lastRow="0" w:noHBand="0" w:noVBand="1" w:val="04A0"/>
      </w:tblPr>
      <w:tblGrid>
        <w:gridCol w:w="4680"/>
        <w:gridCol w:w="4680"/>
      </w:tblGrid>
      <w:tr>
        <w:tc>
          <w:tcPr>
            <w:tcW w:type="dxa" w:w="4680"/>
            <w:shd w:fill="F1F5F9"/>
            <w:tcMar>
              <w:top w:w="80" w:type="dxa"/>
              <w:bottom w:w="80" w:type="dxa"/>
              <w:left w:w="120" w:type="dxa"/>
              <w:right w:w="120" w:type="dxa"/>
            </w:tcMar>
          </w:tcPr>
          <w:p>
            <w:pPr>
              <w:spacing w:after="0"/>
            </w:pPr>
            <w:r>
              <w:rPr>
                <w:rFonts w:ascii="Calibri" w:hAnsi="Calibri"/>
                <w:b/>
                <w:color w:val="1E293B"/>
                <w:sz w:val="19"/>
              </w:rPr>
              <w:t xml:space="preserve">Metodologi Analisis: </w:t>
            </w:r>
            <w:r>
              <w:rPr>
                <w:rFonts w:ascii="Calibri" w:hAnsi="Calibri"/>
                <w:color w:val="334155"/>
                <w:sz w:val="19"/>
              </w:rPr>
              <w:t>Kerangka 5W + 1H (What, Why, Who, Where, When, How)</w:t>
            </w:r>
          </w:p>
        </w:tc>
        <w:tc>
          <w:tcPr>
            <w:tcW w:type="dxa" w:w="4680"/>
            <w:shd w:fill="F1F5F9"/>
            <w:tcMar>
              <w:top w:w="80" w:type="dxa"/>
              <w:bottom w:w="80" w:type="dxa"/>
              <w:left w:w="120" w:type="dxa"/>
              <w:right w:w="120" w:type="dxa"/>
            </w:tcMar>
          </w:tcPr>
          <w:p>
            <w:pPr>
              <w:spacing w:after="0"/>
            </w:pPr>
            <w:r>
              <w:rPr>
                <w:rFonts w:ascii="Calibri" w:hAnsi="Calibri"/>
                <w:b/>
                <w:color w:val="1E293B"/>
                <w:sz w:val="19"/>
              </w:rPr>
              <w:t xml:space="preserve">Sistem Utama: </w:t>
            </w:r>
            <w:r>
              <w:rPr>
                <w:rFonts w:ascii="Calibri" w:hAnsi="Calibri"/>
                <w:color w:val="334155"/>
                <w:sz w:val="19"/>
              </w:rPr>
              <w:t>ArtaLedger Enterprise Accounting &amp; ERP</w:t>
            </w:r>
          </w:p>
        </w:tc>
      </w:tr>
      <w:tr>
        <w:tc>
          <w:tcPr>
            <w:tcW w:type="dxa" w:w="4680"/>
            <w:shd w:fill="F8FAFC"/>
            <w:tcMar>
              <w:top w:w="80" w:type="dxa"/>
              <w:bottom w:w="80" w:type="dxa"/>
              <w:left w:w="120" w:type="dxa"/>
              <w:right w:w="120" w:type="dxa"/>
            </w:tcMar>
          </w:tcPr>
          <w:p>
            <w:pPr>
              <w:spacing w:after="0"/>
            </w:pPr>
            <w:r>
              <w:rPr>
                <w:rFonts w:ascii="Calibri" w:hAnsi="Calibri"/>
                <w:b/>
                <w:color w:val="1E293B"/>
                <w:sz w:val="19"/>
              </w:rPr>
              <w:t xml:space="preserve">Tahun Implementasi: </w:t>
            </w:r>
            <w:r>
              <w:rPr>
                <w:rFonts w:ascii="Calibri" w:hAnsi="Calibri"/>
                <w:color w:val="334155"/>
                <w:sz w:val="19"/>
              </w:rPr>
              <w:t>2026 - 2027</w:t>
            </w:r>
          </w:p>
        </w:tc>
        <w:tc>
          <w:tcPr>
            <w:tcW w:type="dxa" w:w="4680"/>
            <w:shd w:fill="F8FAFC"/>
            <w:tcMar>
              <w:top w:w="80" w:type="dxa"/>
              <w:bottom w:w="80" w:type="dxa"/>
              <w:left w:w="120" w:type="dxa"/>
              <w:right w:w="120" w:type="dxa"/>
            </w:tcMar>
          </w:tcPr>
          <w:p>
            <w:pPr>
              <w:spacing w:after="0"/>
            </w:pPr>
            <w:r>
              <w:rPr>
                <w:rFonts w:ascii="Calibri" w:hAnsi="Calibri"/>
                <w:b/>
                <w:color w:val="1E293B"/>
                <w:sz w:val="19"/>
              </w:rPr>
              <w:t xml:space="preserve">Status Kesiapan: </w:t>
            </w:r>
            <w:r>
              <w:rPr>
                <w:rFonts w:ascii="Calibri" w:hAnsi="Calibri"/>
                <w:color w:val="334155"/>
                <w:sz w:val="19"/>
              </w:rPr>
              <w:t>🟢 Production-Ready (201 Automated Tests Passed 100%)</w:t>
            </w:r>
          </w:p>
        </w:tc>
      </w:tr>
    </w:tbl>
    <w:p>
      <w:pPr>
        <w:spacing w:after="240"/>
      </w:pPr>
    </w:p>
    <w:p>
      <w:pPr>
        <w:keepNext/>
        <w:spacing w:before="320" w:after="120"/>
      </w:pPr>
      <w:r>
        <w:rPr>
          <w:rFonts w:ascii="Calibri" w:hAnsi="Calibri"/>
          <w:b/>
          <w:color w:val="4F46E5"/>
          <w:sz w:val="30"/>
        </w:rPr>
        <w:t>RINGKASAN EKSEKUTIF METODE 5W + 1H</w:t>
      </w:r>
    </w:p>
    <w:p>
      <w:pPr>
        <w:spacing w:before="0" w:after="80" w:line="276" w:lineRule="auto"/>
      </w:pPr>
      <w:r>
        <w:rPr>
          <w:rFonts w:ascii="Calibri" w:hAnsi="Calibri"/>
          <w:i w:val="0"/>
          <w:color w:val="334155"/>
          <w:sz w:val="21"/>
        </w:rPr>
        <w:t>Penyajian materi presentasi sistem ArtaLedger disusun secara terstruktur menggunakan metodologi 5W + 1H guna memberikan pemahaman mendalam, logis, dan terarah bagi seluruh pemangku kepentingan:</w:t>
      </w:r>
    </w:p>
    <w:tbl>
      <w:tblPr>
        <w:tblW w:type="auto" w:w="0"/>
        <w:jc w:val="center"/>
        <w:tblLook w:firstColumn="1" w:firstRow="1" w:lastColumn="0" w:lastRow="0" w:noHBand="0" w:noVBand="1" w:val="04A0"/>
      </w:tblPr>
      <w:tblGrid>
        <w:gridCol w:w="4680"/>
        <w:gridCol w:w="4680"/>
      </w:tblGrid>
      <w:tr>
        <w:tc>
          <w:tcPr>
            <w:tcW w:type="dxa" w:w="4680"/>
            <w:shd w:fill="1E293B"/>
            <w:tcMar>
              <w:top w:w="80" w:type="dxa"/>
              <w:bottom w:w="80" w:type="dxa"/>
              <w:left w:w="120" w:type="dxa"/>
              <w:right w:w="120" w:type="dxa"/>
            </w:tcMar>
          </w:tcPr>
          <w:p>
            <w:r>
              <w:rPr>
                <w:rFonts w:ascii="Calibri" w:hAnsi="Calibri"/>
                <w:b/>
                <w:color w:val="FFFFFF"/>
                <w:sz w:val="20"/>
              </w:rPr>
              <w:t>Dimensi 5W + 1H</w:t>
            </w:r>
          </w:p>
        </w:tc>
        <w:tc>
          <w:tcPr>
            <w:tcW w:type="dxa" w:w="4680"/>
            <w:shd w:fill="1E293B"/>
            <w:tcMar>
              <w:top w:w="80" w:type="dxa"/>
              <w:bottom w:w="80" w:type="dxa"/>
              <w:left w:w="120" w:type="dxa"/>
              <w:right w:w="120" w:type="dxa"/>
            </w:tcMar>
          </w:tcPr>
          <w:p>
            <w:r>
              <w:rPr>
                <w:rFonts w:ascii="Calibri" w:hAnsi="Calibri"/>
                <w:b/>
                <w:color w:val="FFFFFF"/>
                <w:sz w:val="20"/>
              </w:rPr>
              <w:t>Fokus Pembahasan &amp; Intisari Jawaban</w:t>
            </w:r>
          </w:p>
        </w:tc>
      </w:tr>
      <w:tr>
        <w:tc>
          <w:tcPr>
            <w:tcW w:type="dxa" w:w="4680"/>
            <w:shd w:fill="F8FAFC"/>
            <w:tcMar>
              <w:top w:w="70" w:type="dxa"/>
              <w:bottom w:w="70" w:type="dxa"/>
              <w:left w:w="120" w:type="dxa"/>
              <w:right w:w="120" w:type="dxa"/>
            </w:tcMar>
          </w:tcPr>
          <w:p>
            <w:pPr>
              <w:spacing w:after="0"/>
            </w:pPr>
            <w:r>
              <w:rPr>
                <w:rFonts w:ascii="Calibri" w:hAnsi="Calibri"/>
                <w:b/>
                <w:color w:val="1E293B"/>
                <w:sz w:val="19"/>
              </w:rPr>
              <w:t>1. WHAT (Apa itu ArtaLedger?)</w:t>
            </w:r>
          </w:p>
        </w:tc>
        <w:tc>
          <w:tcPr>
            <w:tcW w:type="dxa" w:w="4680"/>
            <w:shd w:fill="F8FAFC"/>
            <w:tcMar>
              <w:top w:w="70" w:type="dxa"/>
              <w:bottom w:w="70" w:type="dxa"/>
              <w:left w:w="120" w:type="dxa"/>
              <w:right w:w="120" w:type="dxa"/>
            </w:tcMar>
          </w:tcPr>
          <w:p>
            <w:pPr>
              <w:spacing w:after="0"/>
            </w:pPr>
            <w:r>
              <w:rPr>
                <w:rFonts w:ascii="Calibri" w:hAnsi="Calibri"/>
                <w:color w:val="334155"/>
                <w:sz w:val="19"/>
              </w:rPr>
              <w:t>Sistem Informasi Akuntansi ERP modern berstandar PSAK dengan Core Double-Entry presisi tinggi, modul spesifik rekonsiliasi perbankan, umur piutang/hutang, dan manajemen aset tetap.</w:t>
            </w:r>
          </w:p>
        </w:tc>
      </w:tr>
      <w:tr>
        <w:tc>
          <w:tcPr>
            <w:tcW w:type="dxa" w:w="4680"/>
            <w:shd w:fill="FFFFFF"/>
            <w:tcMar>
              <w:top w:w="70" w:type="dxa"/>
              <w:bottom w:w="70" w:type="dxa"/>
              <w:left w:w="120" w:type="dxa"/>
              <w:right w:w="120" w:type="dxa"/>
            </w:tcMar>
          </w:tcPr>
          <w:p>
            <w:pPr>
              <w:spacing w:after="0"/>
            </w:pPr>
            <w:r>
              <w:rPr>
                <w:rFonts w:ascii="Calibri" w:hAnsi="Calibri"/>
                <w:b/>
                <w:color w:val="1E293B"/>
                <w:sz w:val="19"/>
              </w:rPr>
              <w:t>2. WHY (Mengapa Diperlukan?)</w:t>
            </w:r>
          </w:p>
        </w:tc>
        <w:tc>
          <w:tcPr>
            <w:tcW w:type="dxa" w:w="4680"/>
            <w:shd w:fill="FFFFFF"/>
            <w:tcMar>
              <w:top w:w="70" w:type="dxa"/>
              <w:bottom w:w="70" w:type="dxa"/>
              <w:left w:w="120" w:type="dxa"/>
              <w:right w:w="120" w:type="dxa"/>
            </w:tcMar>
          </w:tcPr>
          <w:p>
            <w:pPr>
              <w:spacing w:after="0"/>
            </w:pPr>
            <w:r>
              <w:rPr>
                <w:rFonts w:ascii="Calibri" w:hAnsi="Calibri"/>
                <w:color w:val="334155"/>
                <w:sz w:val="19"/>
              </w:rPr>
              <w:t>Menjawab risiko human error penjurnalan, ketidakcocokan kertas kerja sistem dengan format Excel auditor, lambatnya rekonsiliasi manual perbankan, dan ancaman manipulasi periode akuntansi.</w:t>
            </w:r>
          </w:p>
        </w:tc>
      </w:tr>
      <w:tr>
        <w:tc>
          <w:tcPr>
            <w:tcW w:type="dxa" w:w="4680"/>
            <w:shd w:fill="F8FAFC"/>
            <w:tcMar>
              <w:top w:w="70" w:type="dxa"/>
              <w:bottom w:w="70" w:type="dxa"/>
              <w:left w:w="120" w:type="dxa"/>
              <w:right w:w="120" w:type="dxa"/>
            </w:tcMar>
          </w:tcPr>
          <w:p>
            <w:pPr>
              <w:spacing w:after="0"/>
            </w:pPr>
            <w:r>
              <w:rPr>
                <w:rFonts w:ascii="Calibri" w:hAnsi="Calibri"/>
                <w:b/>
                <w:color w:val="1E293B"/>
                <w:sz w:val="19"/>
              </w:rPr>
              <w:t>3. WHO (Siapa Pemangku Kepentingannya?)</w:t>
            </w:r>
          </w:p>
        </w:tc>
        <w:tc>
          <w:tcPr>
            <w:tcW w:type="dxa" w:w="4680"/>
            <w:shd w:fill="F8FAFC"/>
            <w:tcMar>
              <w:top w:w="70" w:type="dxa"/>
              <w:bottom w:w="70" w:type="dxa"/>
              <w:left w:w="120" w:type="dxa"/>
              <w:right w:w="120" w:type="dxa"/>
            </w:tcMar>
          </w:tcPr>
          <w:p>
            <w:pPr>
              <w:spacing w:after="0"/>
            </w:pPr>
            <w:r>
              <w:rPr>
                <w:rFonts w:ascii="Calibri" w:hAnsi="Calibri"/>
                <w:color w:val="334155"/>
                <w:sz w:val="19"/>
              </w:rPr>
              <w:t>Jajaran Direksi/C-Level (visibilitas KPI &amp; keputusan strategis), Tim Akuntan (otomasi pembukuan &amp; audit), serta Administrator IT (keamanan, RBAC, dan audit log).</w:t>
            </w:r>
          </w:p>
        </w:tc>
      </w:tr>
      <w:tr>
        <w:tc>
          <w:tcPr>
            <w:tcW w:type="dxa" w:w="4680"/>
            <w:shd w:fill="FFFFFF"/>
            <w:tcMar>
              <w:top w:w="70" w:type="dxa"/>
              <w:bottom w:w="70" w:type="dxa"/>
              <w:left w:w="120" w:type="dxa"/>
              <w:right w:w="120" w:type="dxa"/>
            </w:tcMar>
          </w:tcPr>
          <w:p>
            <w:pPr>
              <w:spacing w:after="0"/>
            </w:pPr>
            <w:r>
              <w:rPr>
                <w:rFonts w:ascii="Calibri" w:hAnsi="Calibri"/>
                <w:b/>
                <w:color w:val="1E293B"/>
                <w:sz w:val="19"/>
              </w:rPr>
              <w:t>4. WHERE (Di Mana Diimplementasikan?)</w:t>
            </w:r>
          </w:p>
        </w:tc>
        <w:tc>
          <w:tcPr>
            <w:tcW w:type="dxa" w:w="4680"/>
            <w:shd w:fill="FFFFFF"/>
            <w:tcMar>
              <w:top w:w="70" w:type="dxa"/>
              <w:bottom w:w="70" w:type="dxa"/>
              <w:left w:w="120" w:type="dxa"/>
              <w:right w:w="120" w:type="dxa"/>
            </w:tcMar>
          </w:tcPr>
          <w:p>
            <w:pPr>
              <w:spacing w:after="0"/>
            </w:pPr>
            <w:r>
              <w:rPr>
                <w:rFonts w:ascii="Calibri" w:hAnsi="Calibri"/>
                <w:color w:val="334155"/>
                <w:sz w:val="19"/>
              </w:rPr>
              <w:t>Di seluruh unit operasional korporat (Kantor Pusat, Unit Layanan/Klinik, Kantor Cabang) melalui antarmuka web modern reaktif dan arsitektur database terisolasi.</w:t>
            </w:r>
          </w:p>
        </w:tc>
      </w:tr>
      <w:tr>
        <w:tc>
          <w:tcPr>
            <w:tcW w:type="dxa" w:w="4680"/>
            <w:shd w:fill="F8FAFC"/>
            <w:tcMar>
              <w:top w:w="70" w:type="dxa"/>
              <w:bottom w:w="70" w:type="dxa"/>
              <w:left w:w="120" w:type="dxa"/>
              <w:right w:w="120" w:type="dxa"/>
            </w:tcMar>
          </w:tcPr>
          <w:p>
            <w:pPr>
              <w:spacing w:after="0"/>
            </w:pPr>
            <w:r>
              <w:rPr>
                <w:rFonts w:ascii="Calibri" w:hAnsi="Calibri"/>
                <w:b/>
                <w:color w:val="1E293B"/>
                <w:sz w:val="19"/>
              </w:rPr>
              <w:t>5. WHEN (Kapan Roadmap &amp; Implementasinya?)</w:t>
            </w:r>
          </w:p>
        </w:tc>
        <w:tc>
          <w:tcPr>
            <w:tcW w:type="dxa" w:w="4680"/>
            <w:shd w:fill="F8FAFC"/>
            <w:tcMar>
              <w:top w:w="70" w:type="dxa"/>
              <w:bottom w:w="70" w:type="dxa"/>
              <w:left w:w="120" w:type="dxa"/>
              <w:right w:w="120" w:type="dxa"/>
            </w:tcMar>
          </w:tcPr>
          <w:p>
            <w:pPr>
              <w:spacing w:after="0"/>
            </w:pPr>
            <w:r>
              <w:rPr>
                <w:rFonts w:ascii="Calibri" w:hAnsi="Calibri"/>
                <w:color w:val="334155"/>
                <w:sz w:val="19"/>
              </w:rPr>
              <w:t>Sistem fondasi siap produksi saat ini (2026), dilanjutkan roadmap 4 fase strategis sepanjang 2026 - 2027 (Sales/Tax, Inventory/Multi-Bank, Budgeting/API, SaaS/AI).</w:t>
            </w:r>
          </w:p>
        </w:tc>
      </w:tr>
      <w:tr>
        <w:tc>
          <w:tcPr>
            <w:tcW w:type="dxa" w:w="4680"/>
            <w:shd w:fill="FFFFFF"/>
            <w:tcMar>
              <w:top w:w="70" w:type="dxa"/>
              <w:bottom w:w="70" w:type="dxa"/>
              <w:left w:w="120" w:type="dxa"/>
              <w:right w:w="120" w:type="dxa"/>
            </w:tcMar>
          </w:tcPr>
          <w:p>
            <w:pPr>
              <w:spacing w:after="0"/>
            </w:pPr>
            <w:r>
              <w:rPr>
                <w:rFonts w:ascii="Calibri" w:hAnsi="Calibri"/>
                <w:b/>
                <w:color w:val="1E293B"/>
                <w:sz w:val="19"/>
              </w:rPr>
              <w:t>6. HOW (Bagaimana Cara Kerjanya?)</w:t>
            </w:r>
          </w:p>
        </w:tc>
        <w:tc>
          <w:tcPr>
            <w:tcW w:type="dxa" w:w="4680"/>
            <w:shd w:fill="FFFFFF"/>
            <w:tcMar>
              <w:top w:w="70" w:type="dxa"/>
              <w:bottom w:w="70" w:type="dxa"/>
              <w:left w:w="120" w:type="dxa"/>
              <w:right w:w="120" w:type="dxa"/>
            </w:tcMar>
          </w:tcPr>
          <w:p>
            <w:pPr>
              <w:spacing w:after="0"/>
            </w:pPr>
            <w:r>
              <w:rPr>
                <w:rFonts w:ascii="Calibri" w:hAnsi="Calibri"/>
                <w:color w:val="334155"/>
                <w:sz w:val="19"/>
              </w:rPr>
              <w:t>Bekerja melalui arsitektur ACID Transactions, strict balancing Δ &lt; 0.01, formula dinamis 12 KPI ApexCharts, dan pengujian otomatis terverifikasi 100% (201 Pest Tests).</w:t>
            </w:r>
          </w:p>
        </w:tc>
      </w:tr>
    </w:tbl>
    <w:p>
      <w:pPr>
        <w:spacing w:after="200"/>
      </w:pPr>
    </w:p>
    <w:p>
      <w:pPr>
        <w:keepNext/>
        <w:spacing w:before="320" w:after="120"/>
      </w:pPr>
      <w:r>
        <w:rPr>
          <w:rFonts w:ascii="Calibri" w:hAnsi="Calibri"/>
          <w:b/>
          <w:color w:val="4F46E5"/>
          <w:sz w:val="30"/>
        </w:rPr>
        <w:t>1. WHAT: Apa Itu ArtaLedger?</w:t>
      </w:r>
    </w:p>
    <w:p>
      <w:pPr>
        <w:spacing w:before="0" w:after="80" w:line="276" w:lineRule="auto"/>
      </w:pPr>
      <w:r>
        <w:rPr>
          <w:rFonts w:ascii="Calibri" w:hAnsi="Calibri"/>
          <w:i w:val="0"/>
          <w:color w:val="334155"/>
          <w:sz w:val="21"/>
        </w:rPr>
        <w:t>ArtaLedger adalah sistem ERP dan akuntansi korporat generasi terbaru yang dirancang untuk mengelola seluruh siklus pencatatan keuangan korporasi, mulai dari penjurnalan harian, rekonsiliasi perbankan, pembukuan buku besar, hingga penyajian laporan keuangan berstandar Pernyataan Standar Akuntansi Keuangan (PSAK).</w:t>
      </w:r>
    </w:p>
    <w:p>
      <w:pPr>
        <w:keepNext/>
        <w:spacing w:before="240" w:after="80"/>
      </w:pPr>
      <w:r>
        <w:rPr>
          <w:rFonts w:ascii="Calibri" w:hAnsi="Calibri"/>
          <w:b/>
          <w:color w:val="1E293B"/>
          <w:sz w:val="24"/>
        </w:rPr>
        <w:t>A. Entitas &amp; Fondasi Perangkat Lunak</w:t>
      </w:r>
    </w:p>
    <w:p>
      <w:pPr>
        <w:pStyle w:val="ListBullet"/>
        <w:spacing w:before="0" w:after="60" w:line="276" w:lineRule="auto"/>
      </w:pPr>
      <w:r>
        <w:rPr>
          <w:rFonts w:ascii="Calibri" w:hAnsi="Calibri"/>
          <w:b/>
          <w:color w:val="1E293B"/>
          <w:sz w:val="20"/>
        </w:rPr>
        <w:t>Framework Backend:</w:t>
      </w:r>
      <w:r>
        <w:rPr>
          <w:rFonts w:ascii="Calibri" w:hAnsi="Calibri"/>
          <w:color w:val="334155"/>
          <w:sz w:val="20"/>
        </w:rPr>
        <w:t xml:space="preserve"> Dibangun menggunakan framework Laravel 12 (PHP 8.2+) dengan arsitektur modular Domain-Driven Design (DDD).</w:t>
      </w:r>
    </w:p>
    <w:p>
      <w:pPr>
        <w:pStyle w:val="ListBullet"/>
        <w:spacing w:before="0" w:after="60" w:line="276" w:lineRule="auto"/>
      </w:pPr>
      <w:r>
        <w:rPr>
          <w:rFonts w:ascii="Calibri" w:hAnsi="Calibri"/>
          <w:b/>
          <w:color w:val="1E293B"/>
          <w:sz w:val="20"/>
        </w:rPr>
        <w:t>Antarmuka Pengguna:</w:t>
      </w:r>
      <w:r>
        <w:rPr>
          <w:rFonts w:ascii="Calibri" w:hAnsi="Calibri"/>
          <w:color w:val="334155"/>
          <w:sz w:val="20"/>
        </w:rPr>
        <w:t xml:space="preserve"> Menggunakan Livewire v3 dan Alpine.js yang menghadirkan pengalaman Single Page Application (SPA) tanpa jeda reload halaman.</w:t>
      </w:r>
    </w:p>
    <w:p>
      <w:pPr>
        <w:pStyle w:val="ListBullet"/>
        <w:spacing w:before="0" w:after="60" w:line="276" w:lineRule="auto"/>
      </w:pPr>
      <w:r>
        <w:rPr>
          <w:rFonts w:ascii="Calibri" w:hAnsi="Calibri"/>
          <w:b/>
          <w:color w:val="1E293B"/>
          <w:sz w:val="20"/>
        </w:rPr>
        <w:t>Basis Data Transaksional:</w:t>
      </w:r>
      <w:r>
        <w:rPr>
          <w:rFonts w:ascii="Calibri" w:hAnsi="Calibri"/>
          <w:color w:val="334155"/>
          <w:sz w:val="20"/>
        </w:rPr>
        <w:t xml:space="preserve"> Menggunakan MySQL 8.0 / PostgreSQL dengan kepatuhan penuh ACID (Atomicity, Consistency, Isolation, Durability) dan tipe data DECIMAL(15,2) anti-pembulatan.</w:t>
      </w:r>
    </w:p>
    <w:p>
      <w:pPr>
        <w:keepNext/>
        <w:spacing w:before="240" w:after="80"/>
      </w:pPr>
      <w:r>
        <w:rPr>
          <w:rFonts w:ascii="Calibri" w:hAnsi="Calibri"/>
          <w:b/>
          <w:color w:val="1E293B"/>
          <w:sz w:val="24"/>
        </w:rPr>
        <w:t>B. Modul-Modul Fungsional Utama</w:t>
      </w:r>
    </w:p>
    <w:p>
      <w:pPr>
        <w:pStyle w:val="ListBullet"/>
        <w:spacing w:before="0" w:after="60" w:line="276" w:lineRule="auto"/>
      </w:pPr>
      <w:r>
        <w:rPr>
          <w:rFonts w:ascii="Calibri" w:hAnsi="Calibri"/>
          <w:b/>
          <w:color w:val="1E293B"/>
          <w:sz w:val="20"/>
        </w:rPr>
        <w:t>Dasbor Finansial Eksekutif:</w:t>
      </w:r>
      <w:r>
        <w:rPr>
          <w:rFonts w:ascii="Calibri" w:hAnsi="Calibri"/>
          <w:color w:val="334155"/>
          <w:sz w:val="20"/>
        </w:rPr>
        <w:t xml:space="preserve"> 12 KPI Baku (EBITDA, NPM, DER, SGA/COGS to Sales, ITO, DSI) dengan grafik tren ApexCharts 12 bulan dan kontrol transaksi bernilai signifikan.</w:t>
      </w:r>
    </w:p>
    <w:p>
      <w:pPr>
        <w:pStyle w:val="ListBullet"/>
        <w:spacing w:before="0" w:after="60" w:line="276" w:lineRule="auto"/>
      </w:pPr>
      <w:r>
        <w:rPr>
          <w:rFonts w:ascii="Calibri" w:hAnsi="Calibri"/>
          <w:b/>
          <w:color w:val="1E293B"/>
          <w:sz w:val="20"/>
        </w:rPr>
        <w:t>Paket Pelaporan Keuangan Resmi:</w:t>
      </w:r>
      <w:r>
        <w:rPr>
          <w:rFonts w:ascii="Calibri" w:hAnsi="Calibri"/>
          <w:color w:val="334155"/>
          <w:sz w:val="20"/>
        </w:rPr>
        <w:t xml:space="preserve"> Neraca Lajur 10-Kolom berprinsip Strict Normal Balance Placement, Laba Rugi Komprehensif (OCI PSAK 24), dan Arus Kas Langsung dinamis.</w:t>
      </w:r>
    </w:p>
    <w:p>
      <w:pPr>
        <w:pStyle w:val="ListBullet"/>
        <w:spacing w:before="0" w:after="60" w:line="276" w:lineRule="auto"/>
      </w:pPr>
      <w:r>
        <w:rPr>
          <w:rFonts w:ascii="Calibri" w:hAnsi="Calibri"/>
          <w:b/>
          <w:color w:val="1E293B"/>
          <w:sz w:val="20"/>
        </w:rPr>
        <w:t>Rekonsiliasi Bank Otomatis:</w:t>
      </w:r>
      <w:r>
        <w:rPr>
          <w:rFonts w:ascii="Calibri" w:hAnsi="Calibri"/>
          <w:color w:val="334155"/>
          <w:sz w:val="20"/>
        </w:rPr>
        <w:t xml:space="preserve"> Ekstraksi otomatis rekening koran e-Tax/CMS BRI, matching otomatis 1-ke-1 dan 1-ke-N dengan mutasi kas buku besar.</w:t>
      </w:r>
    </w:p>
    <w:p>
      <w:pPr>
        <w:pStyle w:val="ListBullet"/>
        <w:spacing w:before="0" w:after="60" w:line="276" w:lineRule="auto"/>
      </w:pPr>
      <w:r>
        <w:rPr>
          <w:rFonts w:ascii="Calibri" w:hAnsi="Calibri"/>
          <w:b/>
          <w:color w:val="1E293B"/>
          <w:sz w:val="20"/>
        </w:rPr>
        <w:t>Manajemen Umur Piutang &amp; Hutang (Aging AR/AP):</w:t>
      </w:r>
      <w:r>
        <w:rPr>
          <w:rFonts w:ascii="Calibri" w:hAnsi="Calibri"/>
          <w:color w:val="334155"/>
          <w:sz w:val="20"/>
        </w:rPr>
        <w:t xml:space="preserve"> Pelacakan faktur dalam bucket umur (Current s/d &gt;90 Hari) dengan alokasi pembayaran pintar multi-invoice (Smart Settlement M:N).</w:t>
      </w:r>
    </w:p>
    <w:p>
      <w:pPr>
        <w:pStyle w:val="ListBullet"/>
        <w:spacing w:before="0" w:after="60" w:line="276" w:lineRule="auto"/>
      </w:pPr>
      <w:r>
        <w:rPr>
          <w:rFonts w:ascii="Calibri" w:hAnsi="Calibri"/>
          <w:b/>
          <w:color w:val="1E293B"/>
          <w:sz w:val="20"/>
        </w:rPr>
        <w:t>Manajemen Aset Tetap &amp; Depresiasi:</w:t>
      </w:r>
      <w:r>
        <w:rPr>
          <w:rFonts w:ascii="Calibri" w:hAnsi="Calibri"/>
          <w:color w:val="334155"/>
          <w:sz w:val="20"/>
        </w:rPr>
        <w:t xml:space="preserve"> Jadwal penyusutan bulanan otomatis, cetak QR Code/Barcode, dan halaman publik verifikasi aset (/a/{code}).</w:t>
      </w:r>
    </w:p>
    <w:p>
      <w:pPr>
        <w:pStyle w:val="ListBullet"/>
        <w:spacing w:before="0" w:after="60" w:line="276" w:lineRule="auto"/>
      </w:pPr>
      <w:r>
        <w:rPr>
          <w:rFonts w:ascii="Calibri" w:hAnsi="Calibri"/>
          <w:b/>
          <w:color w:val="1E293B"/>
          <w:sz w:val="20"/>
        </w:rPr>
        <w:t>Impor Massal Jurnal Excel:</w:t>
      </w:r>
      <w:r>
        <w:rPr>
          <w:rFonts w:ascii="Calibri" w:hAnsi="Calibri"/>
          <w:color w:val="334155"/>
          <w:sz w:val="20"/>
        </w:rPr>
        <w:t xml:space="preserve"> Engine impor ribuan baris jurnal Excel dengan pembacaan VLOOKUP real-time dan mekanisme cascade rollback aman.</w:t>
      </w:r>
    </w:p>
    <w:p>
      <w:pPr>
        <w:keepNext/>
        <w:spacing w:before="320" w:after="120"/>
      </w:pPr>
      <w:r>
        <w:rPr>
          <w:rFonts w:ascii="Calibri" w:hAnsi="Calibri"/>
          <w:b/>
          <w:color w:val="4F46E5"/>
          <w:sz w:val="30"/>
        </w:rPr>
        <w:t>2. WHY: Mengapa ArtaLedger Sangat Dibutuhkan?</w:t>
      </w:r>
    </w:p>
    <w:p>
      <w:pPr>
        <w:spacing w:before="0" w:after="80" w:line="276" w:lineRule="auto"/>
      </w:pPr>
      <w:r>
        <w:rPr>
          <w:rFonts w:ascii="Calibri" w:hAnsi="Calibri"/>
          <w:i w:val="0"/>
          <w:color w:val="334155"/>
          <w:sz w:val="21"/>
        </w:rPr>
        <w:t>Sistem akuntansi konvensional dan spreadsheet manual memiliki banyak celah yang menimbulkan kerugian finansial, keterlambatan pelaporan, dan temuan audit. ArtaLedger hadir secara spesifik untuk mengatasi masalah tersebut:</w:t>
      </w:r>
    </w:p>
    <w:p>
      <w:pPr>
        <w:keepNext/>
        <w:spacing w:before="240" w:after="80"/>
      </w:pPr>
      <w:r>
        <w:rPr>
          <w:rFonts w:ascii="Calibri" w:hAnsi="Calibri"/>
          <w:b/>
          <w:color w:val="1E293B"/>
          <w:sz w:val="24"/>
        </w:rPr>
        <w:t>A. Latar Belakang Masalah Riil Bisnis</w:t>
      </w:r>
    </w:p>
    <w:p>
      <w:pPr>
        <w:pStyle w:val="ListBullet"/>
        <w:spacing w:before="0" w:after="60" w:line="276" w:lineRule="auto"/>
      </w:pPr>
      <w:r>
        <w:rPr>
          <w:rFonts w:ascii="Calibri" w:hAnsi="Calibri"/>
          <w:b/>
          <w:color w:val="1E293B"/>
          <w:sz w:val="20"/>
        </w:rPr>
        <w:t>1. Human Error Penjurnalan:</w:t>
      </w:r>
      <w:r>
        <w:rPr>
          <w:rFonts w:ascii="Calibri" w:hAnsi="Calibri"/>
          <w:color w:val="334155"/>
          <w:sz w:val="20"/>
        </w:rPr>
        <w:t xml:space="preserve"> Kesalahan pengetikan nominal atau akun dapat menyebabkan debit dan kredit tidak seimbang, mengacaukan neraca akhir.</w:t>
      </w:r>
    </w:p>
    <w:p>
      <w:pPr>
        <w:pStyle w:val="ListBullet"/>
        <w:spacing w:before="0" w:after="60" w:line="276" w:lineRule="auto"/>
      </w:pPr>
      <w:r>
        <w:rPr>
          <w:rFonts w:ascii="Calibri" w:hAnsi="Calibri"/>
          <w:b/>
          <w:color w:val="1E293B"/>
          <w:sz w:val="20"/>
        </w:rPr>
        <w:t>2. Deviasi Kertas Kerja Auditor:</w:t>
      </w:r>
      <w:r>
        <w:rPr>
          <w:rFonts w:ascii="Calibri" w:hAnsi="Calibri"/>
          <w:color w:val="334155"/>
          <w:sz w:val="20"/>
        </w:rPr>
        <w:t xml:space="preserve"> Banyak sistem menyajikan neraca lajur yang susunan saldonya melompat, menyulitkan proses verifikasi auditor eksternal.</w:t>
      </w:r>
    </w:p>
    <w:p>
      <w:pPr>
        <w:pStyle w:val="ListBullet"/>
        <w:spacing w:before="0" w:after="60" w:line="276" w:lineRule="auto"/>
      </w:pPr>
      <w:r>
        <w:rPr>
          <w:rFonts w:ascii="Calibri" w:hAnsi="Calibri"/>
          <w:b/>
          <w:color w:val="1E293B"/>
          <w:sz w:val="20"/>
        </w:rPr>
        <w:t>3. Beban Rekonsiliasi Bank Lambat:</w:t>
      </w:r>
      <w:r>
        <w:rPr>
          <w:rFonts w:ascii="Calibri" w:hAnsi="Calibri"/>
          <w:color w:val="334155"/>
          <w:sz w:val="20"/>
        </w:rPr>
        <w:t xml:space="preserve"> Pencocokan manual mutasi rekening koran bank membutuhkan waktu 3 hingga 5 hari kerja di akhir bulan bagi akuntan.</w:t>
      </w:r>
    </w:p>
    <w:p>
      <w:pPr>
        <w:pStyle w:val="ListBullet"/>
        <w:spacing w:before="0" w:after="60" w:line="276" w:lineRule="auto"/>
      </w:pPr>
      <w:r>
        <w:rPr>
          <w:rFonts w:ascii="Calibri" w:hAnsi="Calibri"/>
          <w:b/>
          <w:color w:val="1E293B"/>
          <w:sz w:val="20"/>
        </w:rPr>
        <w:t>4. Lepasnya Pengawasan Aset Fisik:</w:t>
      </w:r>
      <w:r>
        <w:rPr>
          <w:rFonts w:ascii="Calibri" w:hAnsi="Calibri"/>
          <w:color w:val="334155"/>
          <w:sz w:val="20"/>
        </w:rPr>
        <w:t xml:space="preserve"> Aset fisik sering kali hilang atau rusak tanpa tercatat penurunan nilainya di pos beban penyusutan buku besar.</w:t>
      </w:r>
    </w:p>
    <w:p>
      <w:pPr>
        <w:pStyle w:val="ListBullet"/>
        <w:spacing w:before="0" w:after="60" w:line="276" w:lineRule="auto"/>
      </w:pPr>
      <w:r>
        <w:rPr>
          <w:rFonts w:ascii="Calibri" w:hAnsi="Calibri"/>
          <w:b/>
          <w:color w:val="1E293B"/>
          <w:sz w:val="20"/>
        </w:rPr>
        <w:t>5. Kerentanan Manipulasi Data:</w:t>
      </w:r>
      <w:r>
        <w:rPr>
          <w:rFonts w:ascii="Calibri" w:hAnsi="Calibri"/>
          <w:color w:val="334155"/>
          <w:sz w:val="20"/>
        </w:rPr>
        <w:t xml:space="preserve"> Transaksi pada bulan lalu yang telah diaudit masih dapat diedit secara bebas, memicu potensi kecurangan (fraud).</w:t>
      </w:r>
    </w:p>
    <w:p>
      <w:pPr>
        <w:keepNext/>
        <w:spacing w:before="240" w:after="80"/>
      </w:pPr>
      <w:r>
        <w:rPr>
          <w:rFonts w:ascii="Calibri" w:hAnsi="Calibri"/>
          <w:b/>
          <w:color w:val="1E293B"/>
          <w:sz w:val="24"/>
        </w:rPr>
        <w:t>B. Solusi Presisi yang Ditawarkan ArtaLedger</w:t>
      </w:r>
    </w:p>
    <w:p>
      <w:pPr>
        <w:pStyle w:val="ListBullet"/>
        <w:spacing w:before="0" w:after="60" w:line="276" w:lineRule="auto"/>
      </w:pPr>
      <w:r>
        <w:rPr>
          <w:rFonts w:ascii="Calibri" w:hAnsi="Calibri"/>
          <w:b/>
          <w:color w:val="1E293B"/>
          <w:sz w:val="20"/>
        </w:rPr>
        <w:t>Strict Balancing Rule:</w:t>
      </w:r>
      <w:r>
        <w:rPr>
          <w:rFonts w:ascii="Calibri" w:hAnsi="Calibri"/>
          <w:color w:val="334155"/>
          <w:sz w:val="20"/>
        </w:rPr>
        <w:t xml:space="preserve"> Menolak mutasi jika selisih debit-kredit |Δ| ≥ 0.01, serta memblokir posting langsung ke akun Header/Induk.</w:t>
      </w:r>
    </w:p>
    <w:p>
      <w:pPr>
        <w:pStyle w:val="ListBullet"/>
        <w:spacing w:before="0" w:after="60" w:line="276" w:lineRule="auto"/>
      </w:pPr>
      <w:r>
        <w:rPr>
          <w:rFonts w:ascii="Calibri" w:hAnsi="Calibri"/>
          <w:b/>
          <w:color w:val="1E293B"/>
          <w:sz w:val="20"/>
        </w:rPr>
        <w:t>Prinsip Excel Parity:</w:t>
      </w:r>
      <w:r>
        <w:rPr>
          <w:rFonts w:ascii="Calibri" w:hAnsi="Calibri"/>
          <w:color w:val="334155"/>
          <w:sz w:val="20"/>
        </w:rPr>
        <w:t xml:space="preserve"> Mengunci saldo akun tetap pada sisi normalnya (Debit/Kredit) meskipun bernilai negatif, menjamin kecocokan 100% dengan lembar kerja Excel auditor.</w:t>
      </w:r>
    </w:p>
    <w:p>
      <w:pPr>
        <w:pStyle w:val="ListBullet"/>
        <w:spacing w:before="0" w:after="60" w:line="276" w:lineRule="auto"/>
      </w:pPr>
      <w:r>
        <w:rPr>
          <w:rFonts w:ascii="Calibri" w:hAnsi="Calibri"/>
          <w:b/>
          <w:color w:val="1E293B"/>
          <w:sz w:val="20"/>
        </w:rPr>
        <w:t>Otomasi Parser PDF CMS:</w:t>
      </w:r>
      <w:r>
        <w:rPr>
          <w:rFonts w:ascii="Calibri" w:hAnsi="Calibri"/>
          <w:color w:val="334155"/>
          <w:sz w:val="20"/>
        </w:rPr>
        <w:t xml:space="preserve"> Memangkas waktu rekonsiliasi bulanan dari berhari-hari menjadi hitungan menit secara akurat.</w:t>
      </w:r>
    </w:p>
    <w:p>
      <w:pPr>
        <w:pStyle w:val="ListBullet"/>
        <w:spacing w:before="0" w:after="60" w:line="276" w:lineRule="auto"/>
      </w:pPr>
      <w:r>
        <w:rPr>
          <w:rFonts w:ascii="Calibri" w:hAnsi="Calibri"/>
          <w:b/>
          <w:color w:val="1E293B"/>
          <w:sz w:val="20"/>
        </w:rPr>
        <w:t>Audit Trail &amp; Penguncian Periode:</w:t>
      </w:r>
      <w:r>
        <w:rPr>
          <w:rFonts w:ascii="Calibri" w:hAnsi="Calibri"/>
          <w:color w:val="334155"/>
          <w:sz w:val="20"/>
        </w:rPr>
        <w:t xml:space="preserve"> Penutupan periode buku resmi (Period Locking) dan penguncian saldo awal neraca (is_locked) yang hanya dapat dibuka oleh Super Admin dengan audit log terekam.</w:t>
      </w:r>
    </w:p>
    <w:p>
      <w:pPr>
        <w:keepNext/>
        <w:spacing w:before="320" w:after="120"/>
      </w:pPr>
      <w:r>
        <w:rPr>
          <w:rFonts w:ascii="Calibri" w:hAnsi="Calibri"/>
          <w:b/>
          <w:color w:val="4F46E5"/>
          <w:sz w:val="30"/>
        </w:rPr>
        <w:t>3. WHO: Siapa Pemangku Kepentingan Sistem?</w:t>
      </w:r>
    </w:p>
    <w:p>
      <w:pPr>
        <w:spacing w:before="0" w:after="80" w:line="276" w:lineRule="auto"/>
      </w:pPr>
      <w:r>
        <w:rPr>
          <w:rFonts w:ascii="Calibri" w:hAnsi="Calibri"/>
          <w:i w:val="0"/>
          <w:color w:val="334155"/>
          <w:sz w:val="21"/>
        </w:rPr>
        <w:t>ArtaLedger dirancang untuk memberikan dampak positif nyata bagi seluruh tingkatan pemangku kepentingan korporat:</w:t>
      </w:r>
    </w:p>
    <w:p>
      <w:pPr>
        <w:pStyle w:val="ListBullet"/>
        <w:spacing w:before="0" w:after="60" w:line="276" w:lineRule="auto"/>
      </w:pPr>
      <w:r>
        <w:rPr>
          <w:rFonts w:ascii="Calibri" w:hAnsi="Calibri"/>
          <w:b/>
          <w:color w:val="1E293B"/>
          <w:sz w:val="20"/>
        </w:rPr>
        <w:t>1. Jajaran Direksi, Komisaris &amp; C-Level (CEO/CFO):</w:t>
      </w:r>
      <w:r>
        <w:rPr>
          <w:rFonts w:ascii="Calibri" w:hAnsi="Calibri"/>
          <w:color w:val="334155"/>
          <w:sz w:val="20"/>
        </w:rPr>
        <w:t xml:space="preserve"> Memperoleh visibilitas menyeluruh terhadap kinerja keuangan real-time melalui 12 KPI eksekutif, grafik tren 12 bulan, dan kontrol langsung terhadap transaksi-transaksi bernilai signifikan tanpa harus menunggu laporan akuntan di akhir bulan.</w:t>
      </w:r>
    </w:p>
    <w:p>
      <w:pPr>
        <w:pStyle w:val="ListBullet"/>
        <w:spacing w:before="0" w:after="60" w:line="276" w:lineRule="auto"/>
      </w:pPr>
      <w:r>
        <w:rPr>
          <w:rFonts w:ascii="Calibri" w:hAnsi="Calibri"/>
          <w:b/>
          <w:color w:val="1E293B"/>
          <w:sz w:val="20"/>
        </w:rPr>
        <w:t>2. Tim Finansial, Akuntan &amp; Auditor Internal:</w:t>
      </w:r>
      <w:r>
        <w:rPr>
          <w:rFonts w:ascii="Calibri" w:hAnsi="Calibri"/>
          <w:color w:val="334155"/>
          <w:sz w:val="20"/>
        </w:rPr>
        <w:t xml:space="preserve"> Mengurangi 80% beban kerja rutin manual, mempercepat rekonsiliasi perbankan, menyajikan kertas kerja neraca lajur yang siap diaudit kapan saja, dan menghilangkan risiko ketidakseimbangan jurnal.</w:t>
      </w:r>
    </w:p>
    <w:p>
      <w:pPr>
        <w:pStyle w:val="ListBullet"/>
        <w:spacing w:before="0" w:after="60" w:line="276" w:lineRule="auto"/>
      </w:pPr>
      <w:r>
        <w:rPr>
          <w:rFonts w:ascii="Calibri" w:hAnsi="Calibri"/>
          <w:b/>
          <w:color w:val="1E293B"/>
          <w:sz w:val="20"/>
        </w:rPr>
        <w:t>3. Staf Operasional &amp; Kasir Unit Kerja:</w:t>
      </w:r>
      <w:r>
        <w:rPr>
          <w:rFonts w:ascii="Calibri" w:hAnsi="Calibri"/>
          <w:color w:val="334155"/>
          <w:sz w:val="20"/>
        </w:rPr>
        <w:t xml:space="preserve"> Menginput transaksi kas dan mutasi harian secara terstruktur tanpa harus menghafal kode akun akuntansi yang rumit.</w:t>
      </w:r>
    </w:p>
    <w:p>
      <w:pPr>
        <w:pStyle w:val="ListBullet"/>
        <w:spacing w:before="0" w:after="60" w:line="276" w:lineRule="auto"/>
      </w:pPr>
      <w:r>
        <w:rPr>
          <w:rFonts w:ascii="Calibri" w:hAnsi="Calibri"/>
          <w:b/>
          <w:color w:val="1E293B"/>
          <w:sz w:val="20"/>
        </w:rPr>
        <w:t>4. Tim IT &amp; Sistem Informasi Perusahaan:</w:t>
      </w:r>
      <w:r>
        <w:rPr>
          <w:rFonts w:ascii="Calibri" w:hAnsi="Calibri"/>
          <w:color w:val="334155"/>
          <w:sz w:val="20"/>
        </w:rPr>
        <w:t xml:space="preserve"> Menikmati keunggulan sistem yang stabil, mudah dideploy, terproteksi keamanan AgentShield, bebas dari SQL injection, dan memiliki 201 pengujian otomatis yang menjaga keandalan sistem saat ada pembaruan.</w:t>
      </w:r>
    </w:p>
    <w:p>
      <w:pPr>
        <w:keepNext/>
        <w:spacing w:before="320" w:after="120"/>
      </w:pPr>
      <w:r>
        <w:rPr>
          <w:rFonts w:ascii="Calibri" w:hAnsi="Calibri"/>
          <w:b/>
          <w:color w:val="4F46E5"/>
          <w:sz w:val="30"/>
        </w:rPr>
        <w:t>4. WHERE: Di Mana ArtaLedger Diimplementasikan &amp; Beroperasi?</w:t>
      </w:r>
    </w:p>
    <w:p>
      <w:pPr>
        <w:spacing w:before="0" w:after="80" w:line="276" w:lineRule="auto"/>
      </w:pPr>
      <w:r>
        <w:rPr>
          <w:rFonts w:ascii="Calibri" w:hAnsi="Calibri"/>
          <w:i w:val="0"/>
          <w:color w:val="334155"/>
          <w:sz w:val="21"/>
        </w:rPr>
        <w:t>ArtaLedger memiliki fleksibilitas deployment tinggi untuk mendukung operasional bisnis di berbagai skala geografis:</w:t>
      </w:r>
    </w:p>
    <w:p>
      <w:pPr>
        <w:keepNext/>
        <w:spacing w:before="240" w:after="80"/>
      </w:pPr>
      <w:r>
        <w:rPr>
          <w:rFonts w:ascii="Calibri" w:hAnsi="Calibri"/>
          <w:b/>
          <w:color w:val="1E293B"/>
          <w:sz w:val="24"/>
        </w:rPr>
        <w:t>A. Lingkup Operasional Organisasi</w:t>
      </w:r>
    </w:p>
    <w:p>
      <w:pPr>
        <w:pStyle w:val="ListBullet"/>
        <w:spacing w:before="0" w:after="60" w:line="276" w:lineRule="auto"/>
      </w:pPr>
      <w:r>
        <w:rPr>
          <w:rFonts w:ascii="Calibri" w:hAnsi="Calibri"/>
          <w:b/>
          <w:color w:val="1E293B"/>
          <w:sz w:val="20"/>
        </w:rPr>
        <w:t>Kantor Pusat (Head Office):</w:t>
      </w:r>
      <w:r>
        <w:rPr>
          <w:rFonts w:ascii="Calibri" w:hAnsi="Calibri"/>
          <w:color w:val="334155"/>
          <w:sz w:val="20"/>
        </w:rPr>
        <w:t xml:space="preserve"> Pengelolaan konsolidasi laporan keuangan, kontrol bagan akun (COA terpusat), dan persetujuan kebijakan saldo awal.</w:t>
      </w:r>
    </w:p>
    <w:p>
      <w:pPr>
        <w:pStyle w:val="ListBullet"/>
        <w:spacing w:before="0" w:after="60" w:line="276" w:lineRule="auto"/>
      </w:pPr>
      <w:r>
        <w:rPr>
          <w:rFonts w:ascii="Calibri" w:hAnsi="Calibri"/>
          <w:b/>
          <w:color w:val="1E293B"/>
          <w:sz w:val="20"/>
        </w:rPr>
        <w:t>Unit Usaha &amp; Kantor Cabang:</w:t>
      </w:r>
      <w:r>
        <w:rPr>
          <w:rFonts w:ascii="Calibri" w:hAnsi="Calibri"/>
          <w:color w:val="334155"/>
          <w:sz w:val="20"/>
        </w:rPr>
        <w:t xml:space="preserve"> Pencatatan transaksi pendapatan dan beban per departemen atau cabang (misal: Unit RS, Klinik Utama, Kantor Perwakilan) secara mandiri.</w:t>
      </w:r>
    </w:p>
    <w:p>
      <w:pPr>
        <w:pStyle w:val="ListBullet"/>
        <w:spacing w:before="0" w:after="60" w:line="276" w:lineRule="auto"/>
      </w:pPr>
      <w:r>
        <w:rPr>
          <w:rFonts w:ascii="Calibri" w:hAnsi="Calibri"/>
          <w:b/>
          <w:color w:val="1E293B"/>
          <w:sz w:val="20"/>
        </w:rPr>
        <w:t>Auditor Eksternal &amp; Stakeholder Remote:</w:t>
      </w:r>
      <w:r>
        <w:rPr>
          <w:rFonts w:ascii="Calibri" w:hAnsi="Calibri"/>
          <w:color w:val="334155"/>
          <w:sz w:val="20"/>
        </w:rPr>
        <w:t xml:space="preserve"> Tim auditor dapat mengakses neraca lajur dan buku besar secara read-only secara remote melalui jalur aman.</w:t>
      </w:r>
    </w:p>
    <w:p>
      <w:pPr>
        <w:keepNext/>
        <w:spacing w:before="240" w:after="80"/>
      </w:pPr>
      <w:r>
        <w:rPr>
          <w:rFonts w:ascii="Calibri" w:hAnsi="Calibri"/>
          <w:b/>
          <w:color w:val="1E293B"/>
          <w:sz w:val="24"/>
        </w:rPr>
        <w:t>B. Arsitektur Lingkungan Sistem</w:t>
      </w:r>
    </w:p>
    <w:p>
      <w:pPr>
        <w:pStyle w:val="ListBullet"/>
        <w:spacing w:before="0" w:after="60" w:line="276" w:lineRule="auto"/>
      </w:pPr>
      <w:r>
        <w:rPr>
          <w:rFonts w:ascii="Calibri" w:hAnsi="Calibri"/>
          <w:b/>
          <w:color w:val="1E293B"/>
          <w:sz w:val="20"/>
        </w:rPr>
        <w:t>Infrastruktur Server:</w:t>
      </w:r>
      <w:r>
        <w:rPr>
          <w:rFonts w:ascii="Calibri" w:hAnsi="Calibri"/>
          <w:color w:val="334155"/>
          <w:sz w:val="20"/>
        </w:rPr>
        <w:t xml:space="preserve"> Dapat dideploy pada server on-premise perusahaan maupun Virtual Private Server (VPS Cloud seperti AWS, DigitalOcean, Alibaba Cloud).</w:t>
      </w:r>
    </w:p>
    <w:p>
      <w:pPr>
        <w:pStyle w:val="ListBullet"/>
        <w:spacing w:before="0" w:after="60" w:line="276" w:lineRule="auto"/>
      </w:pPr>
      <w:r>
        <w:rPr>
          <w:rFonts w:ascii="Calibri" w:hAnsi="Calibri"/>
          <w:b/>
          <w:color w:val="1E293B"/>
          <w:sz w:val="20"/>
        </w:rPr>
        <w:t>Akses Antarmuka:</w:t>
      </w:r>
      <w:r>
        <w:rPr>
          <w:rFonts w:ascii="Calibri" w:hAnsi="Calibri"/>
          <w:color w:val="334155"/>
          <w:sz w:val="20"/>
        </w:rPr>
        <w:t xml:space="preserve"> Responsif sempurna diakses melalui desktop, laptop, tablet, hingga smartphone melalui browser modern.</w:t>
      </w:r>
    </w:p>
    <w:p>
      <w:pPr>
        <w:pStyle w:val="ListBullet"/>
        <w:spacing w:before="0" w:after="60" w:line="276" w:lineRule="auto"/>
      </w:pPr>
      <w:r>
        <w:rPr>
          <w:rFonts w:ascii="Calibri" w:hAnsi="Calibri"/>
          <w:b/>
          <w:color w:val="1E293B"/>
          <w:sz w:val="20"/>
        </w:rPr>
        <w:t>Jalur Tunneling Aman:</w:t>
      </w:r>
      <w:r>
        <w:rPr>
          <w:rFonts w:ascii="Calibri" w:hAnsi="Calibri"/>
          <w:color w:val="334155"/>
          <w:sz w:val="20"/>
        </w:rPr>
        <w:t xml:space="preserve"> Dilengkapi fitur tunnel aman untuk pengujian eksternal dan publikasi aset fisik barcode tanpa membuka akses database.</w:t>
      </w:r>
    </w:p>
    <w:p>
      <w:pPr>
        <w:keepNext/>
        <w:spacing w:before="320" w:after="120"/>
      </w:pPr>
      <w:r>
        <w:rPr>
          <w:rFonts w:ascii="Calibri" w:hAnsi="Calibri"/>
          <w:b/>
          <w:color w:val="4F46E5"/>
          <w:sz w:val="30"/>
        </w:rPr>
        <w:t>5. WHEN: Kapan Jadwal Implementasi &amp; Roadmap Pengembangan?</w:t>
      </w:r>
    </w:p>
    <w:p>
      <w:pPr>
        <w:spacing w:before="0" w:after="80" w:line="276" w:lineRule="auto"/>
      </w:pPr>
      <w:r>
        <w:rPr>
          <w:rFonts w:ascii="Calibri" w:hAnsi="Calibri"/>
          <w:i w:val="0"/>
          <w:color w:val="334155"/>
          <w:sz w:val="21"/>
        </w:rPr>
        <w:t>Sistem telah mencapai fase produksi yang stabil dan siap diekspansi secara bertahap sepanjang 2026 - 2027:</w:t>
      </w:r>
    </w:p>
    <w:tbl>
      <w:tblPr>
        <w:tblW w:type="auto" w:w="0"/>
        <w:jc w:val="center"/>
        <w:tblLook w:firstColumn="1" w:firstRow="1" w:lastColumn="0" w:lastRow="0" w:noHBand="0" w:noVBand="1" w:val="04A0"/>
      </w:tblPr>
      <w:tblGrid>
        <w:gridCol w:w="3120"/>
        <w:gridCol w:w="3120"/>
        <w:gridCol w:w="3120"/>
      </w:tblGrid>
      <w:tr>
        <w:tc>
          <w:tcPr>
            <w:tcW w:type="dxa" w:w="3120"/>
            <w:shd w:fill="1E293B"/>
            <w:tcMar>
              <w:top w:w="80" w:type="dxa"/>
              <w:bottom w:w="80" w:type="dxa"/>
              <w:left w:w="120" w:type="dxa"/>
              <w:right w:w="120" w:type="dxa"/>
            </w:tcMar>
          </w:tcPr>
          <w:p>
            <w:r>
              <w:rPr>
                <w:rFonts w:ascii="Calibri" w:hAnsi="Calibri"/>
                <w:b/>
                <w:color w:val="FFFFFF"/>
                <w:sz w:val="20"/>
              </w:rPr>
              <w:t>Fase &amp; Periode</w:t>
            </w:r>
          </w:p>
        </w:tc>
        <w:tc>
          <w:tcPr>
            <w:tcW w:type="dxa" w:w="3120"/>
            <w:shd w:fill="1E293B"/>
            <w:tcMar>
              <w:top w:w="80" w:type="dxa"/>
              <w:bottom w:w="80" w:type="dxa"/>
              <w:left w:w="120" w:type="dxa"/>
              <w:right w:w="120" w:type="dxa"/>
            </w:tcMar>
          </w:tcPr>
          <w:p>
            <w:r>
              <w:rPr>
                <w:rFonts w:ascii="Calibri" w:hAnsi="Calibri"/>
                <w:b/>
                <w:color w:val="FFFFFF"/>
                <w:sz w:val="20"/>
              </w:rPr>
              <w:t>Fokus Utama Pengembangan</w:t>
            </w:r>
          </w:p>
        </w:tc>
        <w:tc>
          <w:tcPr>
            <w:tcW w:type="dxa" w:w="3120"/>
            <w:shd w:fill="1E293B"/>
            <w:tcMar>
              <w:top w:w="80" w:type="dxa"/>
              <w:bottom w:w="80" w:type="dxa"/>
              <w:left w:w="120" w:type="dxa"/>
              <w:right w:w="120" w:type="dxa"/>
            </w:tcMar>
          </w:tcPr>
          <w:p>
            <w:r>
              <w:rPr>
                <w:rFonts w:ascii="Calibri" w:hAnsi="Calibri"/>
                <w:b/>
                <w:color w:val="FFFFFF"/>
                <w:sz w:val="20"/>
              </w:rPr>
              <w:t>Output &amp; Deliverables</w:t>
            </w:r>
          </w:p>
        </w:tc>
      </w:tr>
      <w:tr>
        <w:tc>
          <w:tcPr>
            <w:tcW w:type="dxa" w:w="3120"/>
            <w:shd w:fill="F8FAFC"/>
            <w:tcMar>
              <w:top w:w="70" w:type="dxa"/>
              <w:bottom w:w="70" w:type="dxa"/>
              <w:left w:w="120" w:type="dxa"/>
              <w:right w:w="120" w:type="dxa"/>
            </w:tcMar>
          </w:tcPr>
          <w:p>
            <w:pPr>
              <w:spacing w:after="0"/>
            </w:pPr>
            <w:r>
              <w:rPr>
                <w:rFonts w:ascii="Calibri" w:hAnsi="Calibri"/>
                <w:b/>
                <w:color w:val="1E293B"/>
                <w:sz w:val="19"/>
              </w:rPr>
              <w:t>Current State (2026)</w:t>
            </w:r>
          </w:p>
        </w:tc>
        <w:tc>
          <w:tcPr>
            <w:tcW w:type="dxa" w:w="3120"/>
            <w:shd w:fill="F8FAFC"/>
            <w:tcMar>
              <w:top w:w="70" w:type="dxa"/>
              <w:bottom w:w="70" w:type="dxa"/>
              <w:left w:w="120" w:type="dxa"/>
              <w:right w:w="120" w:type="dxa"/>
            </w:tcMar>
          </w:tcPr>
          <w:p>
            <w:pPr>
              <w:spacing w:after="0"/>
            </w:pPr>
            <w:r>
              <w:rPr>
                <w:rFonts w:ascii="Calibri" w:hAnsi="Calibri"/>
                <w:color w:val="334155"/>
                <w:sz w:val="19"/>
              </w:rPr>
              <w:t>Fondasi Akuntansi Inti (Core GL)</w:t>
            </w:r>
          </w:p>
        </w:tc>
        <w:tc>
          <w:tcPr>
            <w:tcW w:type="dxa" w:w="3120"/>
            <w:shd w:fill="F8FAFC"/>
            <w:tcMar>
              <w:top w:w="70" w:type="dxa"/>
              <w:bottom w:w="70" w:type="dxa"/>
              <w:left w:w="120" w:type="dxa"/>
              <w:right w:w="120" w:type="dxa"/>
            </w:tcMar>
          </w:tcPr>
          <w:p>
            <w:pPr>
              <w:spacing w:after="0"/>
            </w:pPr>
            <w:r>
              <w:rPr>
                <w:rFonts w:ascii="Calibri" w:hAnsi="Calibri"/>
                <w:color w:val="334155"/>
                <w:sz w:val="19"/>
              </w:rPr>
              <w:t>Double-Entry Engine, Neraca Lajur, P&amp;L PSAK 24, Cash Flow, Rekonsiliasi BRI, Aging AR/AP, Aset Tetap, dan Dasbor KPI (🟢 Ready).</w:t>
            </w:r>
          </w:p>
        </w:tc>
      </w:tr>
      <w:tr>
        <w:tc>
          <w:tcPr>
            <w:tcW w:type="dxa" w:w="3120"/>
            <w:shd w:fill="FFFFFF"/>
            <w:tcMar>
              <w:top w:w="70" w:type="dxa"/>
              <w:bottom w:w="70" w:type="dxa"/>
              <w:left w:w="120" w:type="dxa"/>
              <w:right w:w="120" w:type="dxa"/>
            </w:tcMar>
          </w:tcPr>
          <w:p>
            <w:pPr>
              <w:spacing w:after="0"/>
            </w:pPr>
            <w:r>
              <w:rPr>
                <w:rFonts w:ascii="Calibri" w:hAnsi="Calibri"/>
                <w:b/>
                <w:color w:val="1E293B"/>
                <w:sz w:val="19"/>
              </w:rPr>
              <w:t>Fase 1 (Q4 2026)</w:t>
            </w:r>
          </w:p>
        </w:tc>
        <w:tc>
          <w:tcPr>
            <w:tcW w:type="dxa" w:w="3120"/>
            <w:shd w:fill="FFFFFF"/>
            <w:tcMar>
              <w:top w:w="70" w:type="dxa"/>
              <w:bottom w:w="70" w:type="dxa"/>
              <w:left w:w="120" w:type="dxa"/>
              <w:right w:w="120" w:type="dxa"/>
            </w:tcMar>
          </w:tcPr>
          <w:p>
            <w:pPr>
              <w:spacing w:after="0"/>
            </w:pPr>
            <w:r>
              <w:rPr>
                <w:rFonts w:ascii="Calibri" w:hAnsi="Calibri"/>
                <w:color w:val="334155"/>
                <w:sz w:val="19"/>
              </w:rPr>
              <w:t>Siklus Bisnis Operasional &amp; Pajak</w:t>
            </w:r>
          </w:p>
        </w:tc>
        <w:tc>
          <w:tcPr>
            <w:tcW w:type="dxa" w:w="3120"/>
            <w:shd w:fill="FFFFFF"/>
            <w:tcMar>
              <w:top w:w="70" w:type="dxa"/>
              <w:bottom w:w="70" w:type="dxa"/>
              <w:left w:w="120" w:type="dxa"/>
              <w:right w:w="120" w:type="dxa"/>
            </w:tcMar>
          </w:tcPr>
          <w:p>
            <w:pPr>
              <w:spacing w:after="0"/>
            </w:pPr>
            <w:r>
              <w:rPr>
                <w:rFonts w:ascii="Calibri" w:hAnsi="Calibri"/>
                <w:color w:val="334155"/>
                <w:sz w:val="19"/>
              </w:rPr>
              <w:t>Modul Penjualan (Invoicing), Pembelian (PO &amp; Bills), serta Tax Engine PPN 11%/12% dan PPh otomatis terhubung e-Faktur.</w:t>
            </w:r>
          </w:p>
        </w:tc>
      </w:tr>
      <w:tr>
        <w:tc>
          <w:tcPr>
            <w:tcW w:type="dxa" w:w="3120"/>
            <w:shd w:fill="F8FAFC"/>
            <w:tcMar>
              <w:top w:w="70" w:type="dxa"/>
              <w:bottom w:w="70" w:type="dxa"/>
              <w:left w:w="120" w:type="dxa"/>
              <w:right w:w="120" w:type="dxa"/>
            </w:tcMar>
          </w:tcPr>
          <w:p>
            <w:pPr>
              <w:spacing w:after="0"/>
            </w:pPr>
            <w:r>
              <w:rPr>
                <w:rFonts w:ascii="Calibri" w:hAnsi="Calibri"/>
                <w:b/>
                <w:color w:val="1E293B"/>
                <w:sz w:val="19"/>
              </w:rPr>
              <w:t>Fase 2 (Q1 2027)</w:t>
            </w:r>
          </w:p>
        </w:tc>
        <w:tc>
          <w:tcPr>
            <w:tcW w:type="dxa" w:w="3120"/>
            <w:shd w:fill="F8FAFC"/>
            <w:tcMar>
              <w:top w:w="70" w:type="dxa"/>
              <w:bottom w:w="70" w:type="dxa"/>
              <w:left w:w="120" w:type="dxa"/>
              <w:right w:w="120" w:type="dxa"/>
            </w:tcMar>
          </w:tcPr>
          <w:p>
            <w:pPr>
              <w:spacing w:after="0"/>
            </w:pPr>
            <w:r>
              <w:rPr>
                <w:rFonts w:ascii="Calibri" w:hAnsi="Calibri"/>
                <w:color w:val="334155"/>
                <w:sz w:val="19"/>
              </w:rPr>
              <w:t>Manajemen Persediaan &amp; Multi-Bank</w:t>
            </w:r>
          </w:p>
        </w:tc>
        <w:tc>
          <w:tcPr>
            <w:tcW w:type="dxa" w:w="3120"/>
            <w:shd w:fill="F8FAFC"/>
            <w:tcMar>
              <w:top w:w="70" w:type="dxa"/>
              <w:bottom w:w="70" w:type="dxa"/>
              <w:left w:w="120" w:type="dxa"/>
              <w:right w:w="120" w:type="dxa"/>
            </w:tcMar>
          </w:tcPr>
          <w:p>
            <w:pPr>
              <w:spacing w:after="0"/>
            </w:pPr>
            <w:r>
              <w:rPr>
                <w:rFonts w:ascii="Calibri" w:hAnsi="Calibri"/>
                <w:color w:val="334155"/>
                <w:sz w:val="19"/>
              </w:rPr>
              <w:t>Manajemen Stok Multi-Gudang (FIFO &amp; Moving Average), Stock Opname terpadu, dan Parser Bank BCA, Mandiri, BNI, serta MT940.</w:t>
            </w:r>
          </w:p>
        </w:tc>
      </w:tr>
      <w:tr>
        <w:tc>
          <w:tcPr>
            <w:tcW w:type="dxa" w:w="3120"/>
            <w:shd w:fill="FFFFFF"/>
            <w:tcMar>
              <w:top w:w="70" w:type="dxa"/>
              <w:bottom w:w="70" w:type="dxa"/>
              <w:left w:w="120" w:type="dxa"/>
              <w:right w:w="120" w:type="dxa"/>
            </w:tcMar>
          </w:tcPr>
          <w:p>
            <w:pPr>
              <w:spacing w:after="0"/>
            </w:pPr>
            <w:r>
              <w:rPr>
                <w:rFonts w:ascii="Calibri" w:hAnsi="Calibri"/>
                <w:b/>
                <w:color w:val="1E293B"/>
                <w:sz w:val="19"/>
              </w:rPr>
              <w:t>Fase 3 (Q2 2027)</w:t>
            </w:r>
          </w:p>
        </w:tc>
        <w:tc>
          <w:tcPr>
            <w:tcW w:type="dxa" w:w="3120"/>
            <w:shd w:fill="FFFFFF"/>
            <w:tcMar>
              <w:top w:w="70" w:type="dxa"/>
              <w:bottom w:w="70" w:type="dxa"/>
              <w:left w:w="120" w:type="dxa"/>
              <w:right w:w="120" w:type="dxa"/>
            </w:tcMar>
          </w:tcPr>
          <w:p>
            <w:pPr>
              <w:spacing w:after="0"/>
            </w:pPr>
            <w:r>
              <w:rPr>
                <w:rFonts w:ascii="Calibri" w:hAnsi="Calibri"/>
                <w:color w:val="334155"/>
                <w:sz w:val="19"/>
              </w:rPr>
              <w:t>Kontrol Anggaran &amp; RESTful API</w:t>
            </w:r>
          </w:p>
        </w:tc>
        <w:tc>
          <w:tcPr>
            <w:tcW w:type="dxa" w:w="3120"/>
            <w:shd w:fill="FFFFFF"/>
            <w:tcMar>
              <w:top w:w="70" w:type="dxa"/>
              <w:bottom w:w="70" w:type="dxa"/>
              <w:left w:w="120" w:type="dxa"/>
              <w:right w:w="120" w:type="dxa"/>
            </w:tcMar>
          </w:tcPr>
          <w:p>
            <w:pPr>
              <w:spacing w:after="0"/>
            </w:pPr>
            <w:r>
              <w:rPr>
                <w:rFonts w:ascii="Calibri" w:hAnsi="Calibri"/>
                <w:color w:val="334155"/>
                <w:sz w:val="19"/>
              </w:rPr>
              <w:t>Modul Budgeting vs Actual dengan Hard Overbudget Guard, Alur Persetujuan Bertingkat, dan OpenAPI v3 untuk POS &amp; E-Commerce.</w:t>
            </w:r>
          </w:p>
        </w:tc>
      </w:tr>
      <w:tr>
        <w:tc>
          <w:tcPr>
            <w:tcW w:type="dxa" w:w="3120"/>
            <w:shd w:fill="F8FAFC"/>
            <w:tcMar>
              <w:top w:w="70" w:type="dxa"/>
              <w:bottom w:w="70" w:type="dxa"/>
              <w:left w:w="120" w:type="dxa"/>
              <w:right w:w="120" w:type="dxa"/>
            </w:tcMar>
          </w:tcPr>
          <w:p>
            <w:pPr>
              <w:spacing w:after="0"/>
            </w:pPr>
            <w:r>
              <w:rPr>
                <w:rFonts w:ascii="Calibri" w:hAnsi="Calibri"/>
                <w:b/>
                <w:color w:val="1E293B"/>
                <w:sz w:val="19"/>
              </w:rPr>
              <w:t>Fase 4 (Q3 2027)</w:t>
            </w:r>
          </w:p>
        </w:tc>
        <w:tc>
          <w:tcPr>
            <w:tcW w:type="dxa" w:w="3120"/>
            <w:shd w:fill="F8FAFC"/>
            <w:tcMar>
              <w:top w:w="70" w:type="dxa"/>
              <w:bottom w:w="70" w:type="dxa"/>
              <w:left w:w="120" w:type="dxa"/>
              <w:right w:w="120" w:type="dxa"/>
            </w:tcMar>
          </w:tcPr>
          <w:p>
            <w:pPr>
              <w:spacing w:after="0"/>
            </w:pPr>
            <w:r>
              <w:rPr>
                <w:rFonts w:ascii="Calibri" w:hAnsi="Calibri"/>
                <w:color w:val="334155"/>
                <w:sz w:val="19"/>
              </w:rPr>
              <w:t>Cloud SaaS &amp; Smart AI Engine</w:t>
            </w:r>
          </w:p>
        </w:tc>
        <w:tc>
          <w:tcPr>
            <w:tcW w:type="dxa" w:w="3120"/>
            <w:shd w:fill="F8FAFC"/>
            <w:tcMar>
              <w:top w:w="70" w:type="dxa"/>
              <w:bottom w:w="70" w:type="dxa"/>
              <w:left w:w="120" w:type="dxa"/>
              <w:right w:w="120" w:type="dxa"/>
            </w:tcMar>
          </w:tcPr>
          <w:p>
            <w:pPr>
              <w:spacing w:after="0"/>
            </w:pPr>
            <w:r>
              <w:rPr>
                <w:rFonts w:ascii="Calibri" w:hAnsi="Calibri"/>
                <w:color w:val="334155"/>
                <w:sz w:val="19"/>
              </w:rPr>
              <w:t>Arsitektur Multi-Tenancy database terisolasi, Smart OCR Invoice Reader Vision AI, dan AI Accounting Anomaly Detection.</w:t>
            </w:r>
          </w:p>
        </w:tc>
      </w:tr>
    </w:tbl>
    <w:p>
      <w:pPr>
        <w:spacing w:after="200"/>
      </w:pPr>
    </w:p>
    <w:p>
      <w:pPr>
        <w:keepNext/>
        <w:spacing w:before="320" w:after="120"/>
      </w:pPr>
      <w:r>
        <w:rPr>
          <w:rFonts w:ascii="Calibri" w:hAnsi="Calibri"/>
          <w:b/>
          <w:color w:val="4F46E5"/>
          <w:sz w:val="30"/>
        </w:rPr>
        <w:t>6. HOW: Bagaimana ArtaLedger Bekerja &amp; Menjamin Mutu?</w:t>
      </w:r>
    </w:p>
    <w:p>
      <w:pPr>
        <w:spacing w:before="0" w:after="80" w:line="276" w:lineRule="auto"/>
      </w:pPr>
      <w:r>
        <w:rPr>
          <w:rFonts w:ascii="Calibri" w:hAnsi="Calibri"/>
          <w:i w:val="0"/>
          <w:color w:val="334155"/>
          <w:sz w:val="21"/>
        </w:rPr>
        <w:t>Keunggulan ArtaLedger bertumpu pada mekanisme kerja yang presisi, pengamanan berlapis, dan metodologi jaminan kualitas perangkat lunak:</w:t>
      </w:r>
    </w:p>
    <w:p>
      <w:pPr>
        <w:keepNext/>
        <w:spacing w:before="240" w:after="80"/>
      </w:pPr>
      <w:r>
        <w:rPr>
          <w:rFonts w:ascii="Calibri" w:hAnsi="Calibri"/>
          <w:b/>
          <w:color w:val="1E293B"/>
          <w:sz w:val="24"/>
        </w:rPr>
        <w:t>A. Cara Kerja Mekanisme Pembukuan Presisi (Double-Entry Engine)</w:t>
      </w:r>
    </w:p>
    <w:p>
      <w:pPr>
        <w:pStyle w:val="ListBullet"/>
        <w:spacing w:before="0" w:after="60" w:line="276" w:lineRule="auto"/>
      </w:pPr>
      <w:r>
        <w:rPr>
          <w:rFonts w:ascii="Calibri" w:hAnsi="Calibri"/>
          <w:b/>
          <w:color w:val="1E293B"/>
          <w:sz w:val="20"/>
        </w:rPr>
        <w:t>1. ACID Database Transactions:</w:t>
      </w:r>
      <w:r>
        <w:rPr>
          <w:rFonts w:ascii="Calibri" w:hAnsi="Calibri"/>
          <w:color w:val="334155"/>
          <w:sz w:val="20"/>
        </w:rPr>
        <w:t xml:space="preserve"> Setiap mutasi jurnal dibungkus dalam blok transaksi database. Jika terjadi kegagalan sistem di tengah proses, seluruh data dibatalkan secara atomik (Rollback).</w:t>
      </w:r>
    </w:p>
    <w:p>
      <w:pPr>
        <w:pStyle w:val="ListBullet"/>
        <w:spacing w:before="0" w:after="60" w:line="276" w:lineRule="auto"/>
      </w:pPr>
      <w:r>
        <w:rPr>
          <w:rFonts w:ascii="Calibri" w:hAnsi="Calibri"/>
          <w:b/>
          <w:color w:val="1E293B"/>
          <w:sz w:val="20"/>
        </w:rPr>
        <w:t>2. Validasi Keseimbangan Real-Time:</w:t>
      </w:r>
      <w:r>
        <w:rPr>
          <w:rFonts w:ascii="Calibri" w:hAnsi="Calibri"/>
          <w:color w:val="334155"/>
          <w:sz w:val="20"/>
        </w:rPr>
        <w:t xml:space="preserve"> Sistem memvalidasi bahwa total debit sama dengan total kredit dengan batas toleransi selisih |Δ| &lt; 0.01 sebelum transaksi diizinkan tersimpan sebagai Posting.</w:t>
      </w:r>
    </w:p>
    <w:p>
      <w:pPr>
        <w:pStyle w:val="ListBullet"/>
        <w:spacing w:before="0" w:after="60" w:line="276" w:lineRule="auto"/>
      </w:pPr>
      <w:r>
        <w:rPr>
          <w:rFonts w:ascii="Calibri" w:hAnsi="Calibri"/>
          <w:b/>
          <w:color w:val="1E293B"/>
          <w:sz w:val="20"/>
        </w:rPr>
        <w:t>3. Perlindungan Akun Header:</w:t>
      </w:r>
      <w:r>
        <w:rPr>
          <w:rFonts w:ascii="Calibri" w:hAnsi="Calibri"/>
          <w:color w:val="334155"/>
          <w:sz w:val="20"/>
        </w:rPr>
        <w:t xml:space="preserve"> Akun berstatus Header (induk klasifikasi) secara otomatis diblokir dari transaksi posting langsung, menjaga konsistensi pohon bagan akun.</w:t>
      </w:r>
    </w:p>
    <w:p>
      <w:pPr>
        <w:keepNext/>
        <w:spacing w:before="240" w:after="80"/>
      </w:pPr>
      <w:r>
        <w:rPr>
          <w:rFonts w:ascii="Calibri" w:hAnsi="Calibri"/>
          <w:b/>
          <w:color w:val="1E293B"/>
          <w:sz w:val="24"/>
        </w:rPr>
        <w:t>B. Cara Kerja Mesin Analitik &amp; Pelaporan</w:t>
      </w:r>
    </w:p>
    <w:p>
      <w:pPr>
        <w:pStyle w:val="ListBullet"/>
        <w:spacing w:before="0" w:after="60" w:line="276" w:lineRule="auto"/>
      </w:pPr>
      <w:r>
        <w:rPr>
          <w:rFonts w:ascii="Calibri" w:hAnsi="Calibri"/>
          <w:b/>
          <w:color w:val="1E293B"/>
          <w:sz w:val="20"/>
        </w:rPr>
        <w:t>1. Dashboard Metric Service:</w:t>
      </w:r>
      <w:r>
        <w:rPr>
          <w:rFonts w:ascii="Calibri" w:hAnsi="Calibri"/>
          <w:color w:val="334155"/>
          <w:sz w:val="20"/>
        </w:rPr>
        <w:t xml:space="preserve"> Menggunakan service khusus yang mengevaluasi formula dinamis (EBITDA, Rasio Solvabilitas, Likuiditas) dengan sistem memoization agar server tetap ringan.</w:t>
      </w:r>
    </w:p>
    <w:p>
      <w:pPr>
        <w:pStyle w:val="ListBullet"/>
        <w:spacing w:before="0" w:after="60" w:line="276" w:lineRule="auto"/>
      </w:pPr>
      <w:r>
        <w:rPr>
          <w:rFonts w:ascii="Calibri" w:hAnsi="Calibri"/>
          <w:b/>
          <w:color w:val="1E293B"/>
          <w:sz w:val="20"/>
        </w:rPr>
        <w:t>2. Algoritma Strict Normal Balance:</w:t>
      </w:r>
      <w:r>
        <w:rPr>
          <w:rFonts w:ascii="Calibri" w:hAnsi="Calibri"/>
          <w:color w:val="334155"/>
          <w:sz w:val="20"/>
        </w:rPr>
        <w:t xml:space="preserve"> Data dipetakan otomatis ke kolom saldo normal masing-masing akun, sehingga saldo kontra-akun tetap tersaji pada posisi yang semestinya tanpa merusak format kertas kerja.</w:t>
      </w:r>
    </w:p>
    <w:p>
      <w:pPr>
        <w:keepNext/>
        <w:spacing w:before="240" w:after="80"/>
      </w:pPr>
      <w:r>
        <w:rPr>
          <w:rFonts w:ascii="Calibri" w:hAnsi="Calibri"/>
          <w:b/>
          <w:color w:val="1E293B"/>
          <w:sz w:val="24"/>
        </w:rPr>
        <w:t>C. Jaminan Kualitas &amp; Standar Rekayasa Perangkat Lunak</w:t>
      </w:r>
    </w:p>
    <w:p>
      <w:pPr>
        <w:pStyle w:val="ListBullet"/>
        <w:spacing w:before="0" w:after="60" w:line="276" w:lineRule="auto"/>
      </w:pPr>
      <w:r>
        <w:rPr>
          <w:rFonts w:ascii="Calibri" w:hAnsi="Calibri"/>
          <w:b/>
          <w:color w:val="1E293B"/>
          <w:sz w:val="20"/>
        </w:rPr>
        <w:t>1. 201 Automated Tests (Pest PHP):</w:t>
      </w:r>
      <w:r>
        <w:rPr>
          <w:rFonts w:ascii="Calibri" w:hAnsi="Calibri"/>
          <w:color w:val="334155"/>
          <w:sz w:val="20"/>
        </w:rPr>
        <w:t xml:space="preserve"> Telah teruji dengan 201 skenario pengujian unit &amp; fitur Pest PHP dengan 749 asersi validasi dan tingkat kelulusan 100%.</w:t>
      </w:r>
    </w:p>
    <w:p>
      <w:pPr>
        <w:pStyle w:val="ListBullet"/>
        <w:spacing w:before="0" w:after="60" w:line="276" w:lineRule="auto"/>
      </w:pPr>
      <w:r>
        <w:rPr>
          <w:rFonts w:ascii="Calibri" w:hAnsi="Calibri"/>
          <w:b/>
          <w:color w:val="1E293B"/>
          <w:sz w:val="20"/>
        </w:rPr>
        <w:t>2. Standar Clean Code (Laravel Pint):</w:t>
      </w:r>
      <w:r>
        <w:rPr>
          <w:rFonts w:ascii="Calibri" w:hAnsi="Calibri"/>
          <w:color w:val="334155"/>
          <w:sz w:val="20"/>
        </w:rPr>
        <w:t xml:space="preserve"> Seluruh kode mematuhi standar PSR-12 melalui pemeriksaan otomatis Laravel Pint (0 style violations).</w:t>
      </w:r>
    </w:p>
    <w:p>
      <w:pPr>
        <w:pStyle w:val="ListBullet"/>
        <w:spacing w:before="0" w:after="60" w:line="276" w:lineRule="auto"/>
      </w:pPr>
      <w:r>
        <w:rPr>
          <w:rFonts w:ascii="Calibri" w:hAnsi="Calibri"/>
          <w:b/>
          <w:color w:val="1E293B"/>
          <w:sz w:val="20"/>
        </w:rPr>
        <w:t>3. Sinkronisasi Arsitektur (Knowledge Graph Sync):</w:t>
      </w:r>
      <w:r>
        <w:rPr>
          <w:rFonts w:ascii="Calibri" w:hAnsi="Calibri"/>
          <w:color w:val="334155"/>
          <w:sz w:val="20"/>
        </w:rPr>
        <w:t xml:space="preserve"> Setiap penambahan rute, service, model, dan pengujian wajib disinkronkan ke dokumen Directed Acyclic Graph (DAG) di KNOWLEDGE_GRAPH.md.</w:t>
      </w:r>
    </w:p>
    <w:p>
      <w:pPr>
        <w:keepNext/>
        <w:spacing w:before="320" w:after="120"/>
      </w:pPr>
      <w:r>
        <w:rPr>
          <w:rFonts w:ascii="Calibri" w:hAnsi="Calibri"/>
          <w:b/>
          <w:color w:val="4F46E5"/>
          <w:sz w:val="30"/>
        </w:rPr>
        <w:t>7. KESIMPULAN &amp; NILAI STRATEGIS</w:t>
      </w:r>
    </w:p>
    <w:p>
      <w:pPr>
        <w:spacing w:before="0" w:after="80" w:line="276" w:lineRule="auto"/>
      </w:pPr>
      <w:r>
        <w:rPr>
          <w:rFonts w:ascii="Calibri" w:hAnsi="Calibri"/>
          <w:i w:val="0"/>
          <w:color w:val="334155"/>
          <w:sz w:val="21"/>
        </w:rPr>
        <w:t>Melalui pendekatan 5W + 1H, dapat disimpulkan bahwa ArtaLedger bukan sekadar perangkat lunak pencatat angka, melainkan fondasi transformasi digital finansial korporat yang kokoh, transparan, dan siap berkembang menjadi ERP skala penuh. Investasi pada sistem ini memberikan kepastian hukum, kepatuhan audit, dan percepatan efisiensi operasional bagi seluruh lini bisnis.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