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36.png" ContentType="image/png"/>
  <Override PartName="/word/media/rId40.png" ContentType="image/png"/>
  <Override PartName="/word/media/rId44.png" ContentType="image/png"/>
  <Override PartName="/word/media/rId50.png" ContentType="image/png"/>
  <Override PartName="/word/media/rId32.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Effect</w:t>
      </w:r>
      <w:r>
        <w:t xml:space="preserve"> </w:t>
      </w:r>
      <w:r>
        <w:t xml:space="preserve">Bias</w:t>
      </w:r>
      <w:r>
        <w:t xml:space="preserve"> </w:t>
      </w:r>
      <w:r>
        <w:t xml:space="preserve">in</w:t>
      </w:r>
      <w:r>
        <w:t xml:space="preserve"> </w:t>
      </w:r>
      <w:r>
        <w:t xml:space="preserve">Multilevel</w:t>
      </w:r>
      <w:r>
        <w:t xml:space="preserve"> </w:t>
      </w:r>
      <w:r>
        <w:t xml:space="preserve">Linear</w:t>
      </w:r>
      <w:r>
        <w:t xml:space="preserve"> </w:t>
      </w:r>
      <w:r>
        <w:t xml:space="preserve">Models</w:t>
      </w:r>
      <w:r>
        <w:t xml:space="preserve"> </w:t>
      </w:r>
      <w:r>
        <w:t xml:space="preserve">under</w:t>
      </w:r>
      <w:r>
        <w:t xml:space="preserve"> </w:t>
      </w:r>
      <w:r>
        <w:t xml:space="preserve">Time-Varying</w:t>
      </w:r>
      <w:r>
        <w:t xml:space="preserve"> </w:t>
      </w:r>
      <w:r>
        <w:t xml:space="preserve">Endogeneity:</w:t>
      </w:r>
      <w:r>
        <w:t xml:space="preserve"> </w:t>
      </w:r>
      <w:r>
        <w:t xml:space="preserve">A</w:t>
      </w:r>
      <w:r>
        <w:t xml:space="preserve"> </w:t>
      </w:r>
      <w:r>
        <w:t xml:space="preserve">New</w:t>
      </w:r>
      <w:r>
        <w:t xml:space="preserve"> </w:t>
      </w:r>
      <w:r>
        <w:t xml:space="preserve">Look</w:t>
      </w:r>
      <w:r>
        <w:t xml:space="preserve"> </w:t>
      </w:r>
      <w:r>
        <w:t xml:space="preserve">at</w:t>
      </w:r>
      <w:r>
        <w:t xml:space="preserve"> </w:t>
      </w:r>
      <w:r>
        <w:t xml:space="preserve">Qian</w:t>
      </w:r>
      <w:r>
        <w:t xml:space="preserve"> </w:t>
      </w:r>
      <w:r>
        <w:t xml:space="preserve">et</w:t>
      </w:r>
      <w:r>
        <w:t xml:space="preserve"> </w:t>
      </w:r>
      <w:r>
        <w:t xml:space="preserve">al. (2020)</w:t>
      </w:r>
    </w:p>
    <w:p>
      <w:pPr>
        <w:pStyle w:val="Subtitle"/>
      </w:pPr>
      <w:r>
        <w:t xml:space="preserve">Research</w:t>
      </w:r>
      <w:r>
        <w:t xml:space="preserve"> </w:t>
      </w:r>
      <w:r>
        <w:t xml:space="preserve">Report</w:t>
      </w:r>
    </w:p>
    <w:p>
      <w:pPr>
        <w:pStyle w:val="Author"/>
      </w:pPr>
      <w:r>
        <w:t xml:space="preserve">Ward</w:t>
      </w:r>
      <w:r>
        <w:t xml:space="preserve"> </w:t>
      </w:r>
      <w:r>
        <w:t xml:space="preserve">B.</w:t>
      </w:r>
      <w:r>
        <w:t xml:space="preserve"> </w:t>
      </w:r>
      <w:r>
        <w:t xml:space="preserve">Eiling</w:t>
      </w:r>
      <w:r>
        <w:t xml:space="preserve"> </w:t>
      </w:r>
      <w:r>
        <w:t xml:space="preserve">(9294163)</w:t>
      </w:r>
    </w:p>
    <w:p>
      <w:pPr>
        <w:pStyle w:val="Date"/>
      </w:pPr>
      <w:r>
        <w:t xml:space="preserve">December</w:t>
      </w:r>
      <w:r>
        <w:t xml:space="preserve"> </w:t>
      </w:r>
      <w:r>
        <w:t xml:space="preserve">20,</w:t>
      </w:r>
      <w:r>
        <w:t xml:space="preserve"> </w:t>
      </w:r>
      <w:r>
        <w:t xml:space="preserve">2024</w:t>
      </w:r>
    </w:p>
    <w:bookmarkStart w:id="21" w:name="introduction"/>
    <w:p>
      <w:pPr>
        <w:pStyle w:val="Heading1"/>
      </w:pPr>
      <w:r>
        <w:t xml:space="preserve">Introduction</w:t>
      </w:r>
    </w:p>
    <w:p>
      <w:pPr>
        <w:pStyle w:val="FirstParagraph"/>
      </w:pPr>
      <w:r>
        <w:t xml:space="preserve">Across a wide range of disciplines, researchers analyze clustered longitudinal, observational data to investigate prospective causal relationships between variables. When analyzing such data, psychological researchers most commonly use the multilevel linear model</w:t>
      </w:r>
      <w:r>
        <w:rPr>
          <w:rStyle w:val="FootnoteReference"/>
        </w:rPr>
        <w:footnoteReference w:id="20"/>
      </w:r>
      <w:r>
        <w:t xml:space="preserve"> </w:t>
      </w:r>
      <w:r>
        <w:t xml:space="preserve">(MLM,</w:t>
      </w:r>
      <w:r>
        <w:t xml:space="preserve"> </w:t>
      </w:r>
      <w:hyperlink w:anchor="ref-bauer2011">
        <w:r>
          <w:rPr>
            <w:rStyle w:val="Hyperlink"/>
          </w:rPr>
          <w:t xml:space="preserve">Bauer &amp; Sterba, 2011</w:t>
        </w:r>
      </w:hyperlink>
      <w:r>
        <w:t xml:space="preserve">)</w:t>
      </w:r>
      <w:r>
        <w:t xml:space="preserve">, which—in the context of longitudinal data analysis—partitions observed variance into stable between-person differences and within-person fluctuations</w:t>
      </w:r>
      <w:r>
        <w:t xml:space="preserve"> </w:t>
      </w:r>
      <w:r>
        <w:t xml:space="preserve">(</w:t>
      </w:r>
      <w:hyperlink w:anchor="ref-hamaker2020">
        <w:r>
          <w:rPr>
            <w:rStyle w:val="Hyperlink"/>
          </w:rPr>
          <w:t xml:space="preserve">Hamaker &amp; Muthén, 2020</w:t>
        </w:r>
      </w:hyperlink>
      <w:r>
        <w:t xml:space="preserve">)</w:t>
      </w:r>
      <w:r>
        <w:t xml:space="preserve">. Research questions explored with the MLM commonly lead to the availability of time invariant and/or time-varying covariates, the latter measured repeatedly over time. The inclusion of covariates is a common strategy to improve parameter precision</w:t>
      </w:r>
      <w:r>
        <w:t xml:space="preserve"> </w:t>
      </w:r>
      <w:r>
        <w:t xml:space="preserve">(</w:t>
      </w:r>
      <w:hyperlink w:anchor="ref-boruvka2018">
        <w:r>
          <w:rPr>
            <w:rStyle w:val="Hyperlink"/>
          </w:rPr>
          <w:t xml:space="preserve">Boruvka et al., 2018</w:t>
        </w:r>
      </w:hyperlink>
      <w:r>
        <w:t xml:space="preserve">)</w:t>
      </w:r>
      <w:r>
        <w:t xml:space="preserve"> </w:t>
      </w:r>
      <w:r>
        <w:t xml:space="preserve">and address bias introduced by (time-varying) confounders</w:t>
      </w:r>
      <w:r>
        <w:t xml:space="preserve"> </w:t>
      </w:r>
      <w:r>
        <w:t xml:space="preserve">(</w:t>
      </w:r>
      <w:hyperlink w:anchor="ref-daniel2013">
        <w:r>
          <w:rPr>
            <w:rStyle w:val="Hyperlink"/>
          </w:rPr>
          <w:t xml:space="preserve">Daniel et al., 2013</w:t>
        </w:r>
      </w:hyperlink>
      <w:r>
        <w:t xml:space="preserve">;</w:t>
      </w:r>
      <w:r>
        <w:t xml:space="preserve"> </w:t>
      </w:r>
      <w:hyperlink w:anchor="ref-Robins2000">
        <w:r>
          <w:rPr>
            <w:rStyle w:val="Hyperlink"/>
          </w:rPr>
          <w:t xml:space="preserve">Robins et al., 2000</w:t>
        </w:r>
      </w:hyperlink>
      <w:r>
        <w:t xml:space="preserve">;</w:t>
      </w:r>
      <w:r>
        <w:t xml:space="preserve"> </w:t>
      </w:r>
      <w:hyperlink w:anchor="ref-Wodtke2020">
        <w:r>
          <w:rPr>
            <w:rStyle w:val="Hyperlink"/>
          </w:rPr>
          <w:t xml:space="preserve">Wodtke, 2020</w:t>
        </w:r>
      </w:hyperlink>
      <w:r>
        <w:t xml:space="preserve">)</w:t>
      </w:r>
      <w:r>
        <w:t xml:space="preserve">. Nevertheless, this approach is not universally beneficial, as conditioning on endogenous covariates—those influenced by (prior) treatment/exposure or outcome—can create challenges for standard methods like MLMs, which implicitly assume the exogeneity of covariates</w:t>
      </w:r>
      <w:r>
        <w:t xml:space="preserve"> </w:t>
      </w:r>
      <w:r>
        <w:t xml:space="preserve">(</w:t>
      </w:r>
      <w:hyperlink w:anchor="ref-Erler2019">
        <w:r>
          <w:rPr>
            <w:rStyle w:val="Hyperlink"/>
          </w:rPr>
          <w:t xml:space="preserve">Erler et al., 2019</w:t>
        </w:r>
      </w:hyperlink>
      <w:r>
        <w:t xml:space="preserve">)</w:t>
      </w:r>
      <w:r>
        <w:t xml:space="preserve">.</w:t>
      </w:r>
    </w:p>
    <w:p>
      <w:pPr>
        <w:pStyle w:val="BodyText"/>
      </w:pPr>
      <w:r>
        <w:t xml:space="preserve">Originating from the biostatistics literature and dating back to the work of</w:t>
      </w:r>
      <w:r>
        <w:t xml:space="preserve"> </w:t>
      </w:r>
      <w:r>
        <w:t xml:space="preserve">Pepe &amp; Anderson (</w:t>
      </w:r>
      <w:hyperlink w:anchor="ref-pepe1994">
        <w:r>
          <w:rPr>
            <w:rStyle w:val="Hyperlink"/>
          </w:rPr>
          <w:t xml:space="preserve">1994</w:t>
        </w:r>
      </w:hyperlink>
      <w:r>
        <w:t xml:space="preserve">)</w:t>
      </w:r>
      <w:r>
        <w:t xml:space="preserve">, this assumption has been shown to be non-trivial when endogenous covariates vary over time. In fact, their inclusion in longitudinal studies can lead to biased treatment effect estimates, an issue that, despite its significance, has received limited attention in psychological research. Building on this foundation, a recent paper by</w:t>
      </w:r>
      <w:r>
        <w:t xml:space="preserve"> </w:t>
      </w:r>
      <w:r>
        <w:t xml:space="preserve">Qian et al. (</w:t>
      </w:r>
      <w:hyperlink w:anchor="ref-qian2020">
        <w:r>
          <w:rPr>
            <w:rStyle w:val="Hyperlink"/>
          </w:rPr>
          <w:t xml:space="preserve">2020</w:t>
        </w:r>
      </w:hyperlink>
      <w:r>
        <w:t xml:space="preserve">)</w:t>
      </w:r>
      <w:r>
        <w:t xml:space="preserve"> </w:t>
      </w:r>
      <w:r>
        <w:t xml:space="preserve">examined the suitability of MLM for estimating the causal effect of a time-varying exposure or treatment. Specifically, they focused on settings where the exposure is randomly assigned at each occasion within individuals. Such randomized exposures may include, for example, prompts delivered through push notifications to remind participants of cognitive or mindfulness-based strategies</w:t>
      </w:r>
      <w:r>
        <w:t xml:space="preserve"> </w:t>
      </w:r>
      <w:r>
        <w:t xml:space="preserve">(</w:t>
      </w:r>
      <w:hyperlink w:anchor="ref-nahum-shani2021">
        <w:r>
          <w:rPr>
            <w:rStyle w:val="Hyperlink"/>
          </w:rPr>
          <w:t xml:space="preserve">Nahum-Shani et al., 2021</w:t>
        </w:r>
      </w:hyperlink>
      <w:r>
        <w:t xml:space="preserve">;</w:t>
      </w:r>
      <w:r>
        <w:t xml:space="preserve"> </w:t>
      </w:r>
      <w:hyperlink w:anchor="ref-walton2018">
        <w:r>
          <w:rPr>
            <w:rStyle w:val="Hyperlink"/>
          </w:rPr>
          <w:t xml:space="preserve">Walton et al., 2018</w:t>
        </w:r>
      </w:hyperlink>
      <w:r>
        <w:t xml:space="preserve">)</w:t>
      </w:r>
      <w:r>
        <w:t xml:space="preserve">. While random assignment with a constant probability might seem sufficient to identify (the presence and absence of) causal effects,</w:t>
      </w:r>
      <w:r>
        <w:t xml:space="preserve"> </w:t>
      </w:r>
      <w:r>
        <w:t xml:space="preserve">Qian et al. (</w:t>
      </w:r>
      <w:hyperlink w:anchor="ref-qian2020">
        <w:r>
          <w:rPr>
            <w:rStyle w:val="Hyperlink"/>
          </w:rPr>
          <w:t xml:space="preserve">2020</w:t>
        </w:r>
      </w:hyperlink>
      <w:r>
        <w:t xml:space="preserve">)</w:t>
      </w:r>
      <w:r>
        <w:t xml:space="preserve"> </w:t>
      </w:r>
      <w:r>
        <w:t xml:space="preserve">showed that model fitting issues and parameter bias can arise when a</w:t>
      </w:r>
      <w:r>
        <w:t xml:space="preserve"> </w:t>
      </w:r>
      <w:r>
        <w:rPr>
          <w:i/>
          <w:iCs/>
        </w:rPr>
        <w:t xml:space="preserve">time-varying endogenous covariate</w:t>
      </w:r>
      <w:r>
        <w:t xml:space="preserve"> </w:t>
      </w:r>
      <w:r>
        <w:t xml:space="preserve">is present.</w:t>
      </w:r>
    </w:p>
    <w:p>
      <w:pPr>
        <w:pStyle w:val="BodyText"/>
      </w:pPr>
      <w:r>
        <w:t xml:space="preserve">However, due to a divide between the disciplines that employ the MLM, such critiques appear to have largely failed to reach the applied researcher in psychology. One specific reason might be that the technical jargon in other disciplines makes it difficult for researchers to recognize when and how these issues emerge. This report aims to explore why</w:t>
      </w:r>
      <w:r>
        <w:t xml:space="preserve"> </w:t>
      </w:r>
      <w:r>
        <w:t xml:space="preserve">Qian et al. (</w:t>
      </w:r>
      <w:hyperlink w:anchor="ref-qian2020">
        <w:r>
          <w:rPr>
            <w:rStyle w:val="Hyperlink"/>
          </w:rPr>
          <w:t xml:space="preserve">2020</w:t>
        </w:r>
      </w:hyperlink>
      <w:r>
        <w:t xml:space="preserve">)</w:t>
      </w:r>
      <w:r>
        <w:t xml:space="preserve"> </w:t>
      </w:r>
      <w:r>
        <w:t xml:space="preserve">observed biased estimates of the treatment effect in certain data-generating mechanisms containing endogenous covariates, while not for others. Additionally, it seeks to explain this issue to an audience of psychologists. The study will first employ graphical diagrams to assess two criteria across various scenarios involving an endogenous time-varying covariate and randomized treatment: (a) path diagrams to evaluate the conditional independence assumption introduced by</w:t>
      </w:r>
      <w:r>
        <w:t xml:space="preserve"> </w:t>
      </w:r>
      <w:r>
        <w:t xml:space="preserve">Qian et al. (</w:t>
      </w:r>
      <w:hyperlink w:anchor="ref-qian2020">
        <w:r>
          <w:rPr>
            <w:rStyle w:val="Hyperlink"/>
          </w:rPr>
          <w:t xml:space="preserve">2020</w:t>
        </w:r>
      </w:hyperlink>
      <w:r>
        <w:t xml:space="preserve">)</w:t>
      </w:r>
      <w:r>
        <w:t xml:space="preserve"> </w:t>
      </w:r>
      <w:r>
        <w:t xml:space="preserve">and (b) directed acyclic graphs (DAGs) to assess the backdoor criterion</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Subsequently, data simulations based on</w:t>
      </w:r>
      <w:r>
        <w:t xml:space="preserve"> </w:t>
      </w:r>
      <w:r>
        <w:t xml:space="preserve">Qian et al. (</w:t>
      </w:r>
      <w:hyperlink w:anchor="ref-qian2020">
        <w:r>
          <w:rPr>
            <w:rStyle w:val="Hyperlink"/>
          </w:rPr>
          <w:t xml:space="preserve">2020</w:t>
        </w:r>
      </w:hyperlink>
      <w:r>
        <w:t xml:space="preserve">)</w:t>
      </w:r>
      <w:r>
        <w:t xml:space="preserve">’s original scenarios, along with additional ones, will be performed to reproduce and isolate the underlying issue and evaluate whether these criteria can effectively detect bias in the treatment effect. The following research question will be addressed:</w:t>
      </w:r>
      <w:r>
        <w:t xml:space="preserve"> </w:t>
      </w:r>
      <w:r>
        <w:rPr>
          <w:i/>
          <w:iCs/>
        </w:rPr>
        <w:t xml:space="preserve">When does the inclusion of endogenous variables in multilevel linear models result in biased estimates of the treatment effect?</w:t>
      </w:r>
    </w:p>
    <w:bookmarkEnd w:id="21"/>
    <w:bookmarkStart w:id="31" w:name="methods"/>
    <w:p>
      <w:pPr>
        <w:pStyle w:val="Heading1"/>
      </w:pPr>
      <w:r>
        <w:t xml:space="preserve">Methods</w:t>
      </w:r>
    </w:p>
    <w:p>
      <w:pPr>
        <w:pStyle w:val="FirstParagraph"/>
      </w:pPr>
      <w:r>
        <w:t xml:space="preserve">In this section, we first formulate four generative models (GMs) that incorporate a time-varying endogenous covariate and a randomized treatment. We then outline the methodology used to investigate treatment effect bias across different settings.</w:t>
      </w:r>
    </w:p>
    <w:bookmarkStart w:id="28" w:name="data-generation"/>
    <w:p>
      <w:pPr>
        <w:pStyle w:val="Heading2"/>
      </w:pPr>
      <w:r>
        <w:t xml:space="preserve">Data Generation</w:t>
      </w:r>
    </w:p>
    <w:p>
      <w:pPr>
        <w:pStyle w:val="FirstParagraph"/>
      </w:pPr>
      <w:r>
        <w:t xml:space="preserve">We consider two GMs from</w:t>
      </w:r>
      <w:r>
        <w:t xml:space="preserve"> </w:t>
      </w:r>
      <w:r>
        <w:t xml:space="preserve">Qian et al. (</w:t>
      </w:r>
      <w:hyperlink w:anchor="ref-qian2020">
        <w:r>
          <w:rPr>
            <w:rStyle w:val="Hyperlink"/>
          </w:rPr>
          <w:t xml:space="preserve">2020</w:t>
        </w:r>
      </w:hyperlink>
      <w:r>
        <w:t xml:space="preserve">)</w:t>
      </w:r>
      <w:r>
        <w:t xml:space="preserve">, one (GM A) being a special case of the general model (GM G) where bias was detected. To further isolate the source of bias, we introduce two additional special cases, labeled GM B and C. We first describe the general generative model (GM G) in detail, and then proceed to its three special cases: GM A, B, and C.</w:t>
      </w:r>
    </w:p>
    <w:bookmarkStart w:id="23" w:name="general-model-generative-model-g"/>
    <w:p>
      <w:pPr>
        <w:pStyle w:val="Heading3"/>
      </w:pPr>
      <w:r>
        <w:t xml:space="preserve">General Model: Generative Model G</w:t>
      </w:r>
    </w:p>
    <w:p>
      <w:pPr>
        <w:pStyle w:val="FirstParagraph"/>
      </w:pPr>
      <w:r>
        <w:t xml:space="preserve">Following the original notation of</w:t>
      </w:r>
      <w:r>
        <w:t xml:space="preserve"> </w:t>
      </w:r>
      <w:r>
        <w:t xml:space="preserve">Qian et al. (</w:t>
      </w:r>
      <w:hyperlink w:anchor="ref-qian2020">
        <w:r>
          <w:rPr>
            <w:rStyle w:val="Hyperlink"/>
          </w:rPr>
          <w:t xml:space="preserve">2020</w:t>
        </w:r>
      </w:hyperlink>
      <w:r>
        <w:t xml:space="preserve">)</w:t>
      </w:r>
      <w:r>
        <w:t xml:space="preserve">, the outcome of GM G was generated as:</w:t>
      </w:r>
    </w:p>
    <w:p>
      <w:pPr>
        <w:pStyle w:val="BodyText"/>
      </w:pPr>
      <w:bookmarkStart w:id="22" w:name="eq-modelG"/>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e>
          </m:d>
          <m:r>
            <m:rPr>
              <m:sty m:val="p"/>
            </m:rPr>
            <m:t>+</m:t>
          </m:r>
          <m:sSub>
            <m:e>
              <m:r>
                <m:t>ϵ</m:t>
              </m:r>
            </m:e>
            <m:sub>
              <m:r>
                <m:t>i</m:t>
              </m:r>
              <m:r>
                <m:t>t</m:t>
              </m:r>
              <m:r>
                <m:rPr>
                  <m:sty m:val="p"/>
                </m:rPr>
                <m:t>+</m:t>
              </m:r>
              <m:r>
                <m:t>1</m:t>
              </m:r>
            </m:sub>
          </m:sSub>
          <m:r>
            <m:t>  </m:t>
          </m:r>
          <m:d>
            <m:dPr>
              <m:begChr m:val="("/>
              <m:endChr m:val=")"/>
              <m:sepChr m:val=""/>
              <m:grow/>
            </m:dPr>
            <m:e>
              <m:r>
                <m:t>1</m:t>
              </m:r>
            </m:e>
          </m:d>
        </m:oMath>
      </m:oMathPara>
      <w:bookmarkEnd w:id="22"/>
    </w:p>
    <w:p>
      <w:pPr>
        <w:pStyle w:val="FirstParagraph"/>
      </w:pPr>
      <w:r>
        <w:t xml:space="preserve">where</w:t>
      </w:r>
      <w:r>
        <w:t xml:space="preserve"> </w:t>
      </w:r>
      <m:oMath>
        <m:sSub>
          <m:e>
            <m:r>
              <m:t>Y</m:t>
            </m:r>
          </m:e>
          <m:sub>
            <m:r>
              <m:t>i</m:t>
            </m:r>
            <m:r>
              <m:t>t</m:t>
            </m:r>
            <m:r>
              <m:rPr>
                <m:sty m:val="p"/>
              </m:rPr>
              <m:t>+</m:t>
            </m:r>
            <m:r>
              <m:t>1</m:t>
            </m:r>
          </m:sub>
        </m:sSub>
      </m:oMath>
      <w:r>
        <w:t xml:space="preserve"> </w:t>
      </w:r>
      <w:r>
        <w:t xml:space="preserve">is the outcome for person</w:t>
      </w:r>
      <w:r>
        <w:t xml:space="preserve"> </w:t>
      </w:r>
      <m:oMath>
        <m:r>
          <m:t>i</m:t>
        </m:r>
      </m:oMath>
      <w:r>
        <w:t xml:space="preserve"> </w:t>
      </w:r>
      <w:r>
        <w:t xml:space="preserve">at time</w:t>
      </w:r>
      <w:r>
        <w:t xml:space="preserve"> </w:t>
      </w:r>
      <m:oMath>
        <m:r>
          <m:t>t</m:t>
        </m:r>
        <m:r>
          <m:rPr>
            <m:sty m:val="p"/>
          </m:rPr>
          <m:t>+</m:t>
        </m:r>
        <m:r>
          <m:t>1</m:t>
        </m:r>
      </m:oMath>
      <w:r>
        <w:t xml:space="preserve">,</w:t>
      </w:r>
      <w:r>
        <w:t xml:space="preserve"> </w:t>
      </w:r>
      <m:oMath>
        <m:sSub>
          <m:e>
            <m:r>
              <m:t>X</m:t>
            </m:r>
          </m:e>
          <m:sub>
            <m:r>
              <m:t>i</m:t>
            </m:r>
            <m:r>
              <m:t>t</m:t>
            </m:r>
          </m:sub>
        </m:sSub>
      </m:oMath>
      <w:r>
        <w:t xml:space="preserve"> </w:t>
      </w:r>
      <w:r>
        <w:t xml:space="preserve">is the covariate for person</w:t>
      </w:r>
      <w:r>
        <w:t xml:space="preserve"> </w:t>
      </w:r>
      <m:oMath>
        <m:r>
          <m:t>i</m:t>
        </m:r>
      </m:oMath>
      <w:r>
        <w:t xml:space="preserve"> </w:t>
      </w:r>
      <w:r>
        <w:t xml:space="preserve">at time</w:t>
      </w:r>
      <w:r>
        <w:t xml:space="preserve"> </w:t>
      </w:r>
      <m:oMath>
        <m:r>
          <m:t>t</m:t>
        </m:r>
      </m:oMath>
      <w:r>
        <w:t xml:space="preserve">,</w:t>
      </w:r>
      <w:r>
        <w:t xml:space="preserve"> </w:t>
      </w:r>
      <m:oMath>
        <m:sSub>
          <m:e>
            <m:r>
              <m:t>A</m:t>
            </m:r>
          </m:e>
          <m:sub>
            <m:r>
              <m:t>i</m:t>
            </m:r>
            <m:r>
              <m:t>t</m:t>
            </m:r>
          </m:sub>
        </m:sSub>
      </m:oMath>
      <w:r>
        <w:t xml:space="preserve"> </w:t>
      </w:r>
      <w:r>
        <w:t xml:space="preserve">is the treatment for person</w:t>
      </w:r>
      <w:r>
        <w:t xml:space="preserve"> </w:t>
      </w:r>
      <m:oMath>
        <m:r>
          <m:t>i</m:t>
        </m:r>
      </m:oMath>
      <w:r>
        <w:t xml:space="preserve"> </w:t>
      </w:r>
      <w:r>
        <w:t xml:space="preserve">at time</w:t>
      </w:r>
      <w:r>
        <w:t xml:space="preserve"> </w:t>
      </w:r>
      <m:oMath>
        <m:r>
          <m:t>t</m:t>
        </m:r>
      </m:oMath>
      <w:r>
        <w:t xml:space="preserve">,</w:t>
      </w:r>
      <w:r>
        <w:t xml:space="preserve"> </w:t>
      </w:r>
      <m:oMath>
        <m:sSub>
          <m:e>
            <m:r>
              <m:t>b</m:t>
            </m:r>
          </m:e>
          <m:sub>
            <m:r>
              <m:t>i</m:t>
            </m:r>
            <m:r>
              <m:t>0</m:t>
            </m:r>
          </m:sub>
        </m:sSub>
      </m:oMath>
      <w:r>
        <w:t xml:space="preserve"> </w:t>
      </w:r>
      <w:r>
        <w:t xml:space="preserve">is the random intercept,</w:t>
      </w:r>
      <w:r>
        <w:t xml:space="preserve"> </w:t>
      </w:r>
      <m:oMath>
        <m:sSub>
          <m:e>
            <m:r>
              <m:t>b</m:t>
            </m:r>
          </m:e>
          <m:sub>
            <m:r>
              <m:t>i</m:t>
            </m:r>
            <m:r>
              <m:t>2</m:t>
            </m:r>
          </m:sub>
        </m:sSub>
      </m:oMath>
      <w:r>
        <w:t xml:space="preserve"> </w:t>
      </w:r>
      <w:r>
        <w:t xml:space="preserve">is the random slope for the treatment, and</w:t>
      </w:r>
      <w:r>
        <w:t xml:space="preserve"> </w:t>
      </w:r>
      <m:oMath>
        <m:sSub>
          <m:e>
            <m:r>
              <m:t>ϵ</m:t>
            </m:r>
          </m:e>
          <m:sub>
            <m:r>
              <m:t>i</m:t>
            </m:r>
            <m:r>
              <m:t>t</m:t>
            </m:r>
            <m:r>
              <m:rPr>
                <m:sty m:val="p"/>
              </m:rPr>
              <m:t>+</m:t>
            </m:r>
            <m:r>
              <m:t>1</m:t>
            </m:r>
          </m:sub>
        </m:sSub>
      </m:oMath>
      <w:r>
        <w:t xml:space="preserve"> </w:t>
      </w:r>
      <w:r>
        <w:t xml:space="preserve">is the error term. Alternatively, the model can be rewritten in the multilevel notation of</w:t>
      </w:r>
      <w:r>
        <w:t xml:space="preserve"> </w:t>
      </w:r>
      <w:r>
        <w:t xml:space="preserve">Raudenbush &amp; Bryk (</w:t>
      </w:r>
      <w:hyperlink w:anchor="ref-raudenbush2002">
        <w:r>
          <w:rPr>
            <w:rStyle w:val="Hyperlink"/>
          </w:rPr>
          <w:t xml:space="preserve">2002</w:t>
        </w:r>
      </w:hyperlink>
      <w:r>
        <w:t xml:space="preserve">)</w:t>
      </w:r>
      <w:r>
        <w:t xml:space="preserve">, with at the within-person level (level 1):</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r>
                      <m:t>t</m:t>
                    </m:r>
                    <m:r>
                      <m:rPr>
                        <m:sty m:val="p"/>
                      </m:rPr>
                      <m:t>+</m:t>
                    </m:r>
                    <m:r>
                      <m:t>1</m:t>
                    </m:r>
                  </m:sub>
                </m:sSub>
              </m:e>
              <m:e>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e>
                </m:d>
                <m:r>
                  <m:rPr>
                    <m:sty m:val="p"/>
                  </m:rPr>
                  <m:t>+</m:t>
                </m:r>
                <m:sSub>
                  <m:e>
                    <m:r>
                      <m:t>ϵ</m:t>
                    </m:r>
                  </m:e>
                  <m:sub>
                    <m:r>
                      <m:t>i</m:t>
                    </m:r>
                    <m:r>
                      <m:t>t</m:t>
                    </m:r>
                    <m:r>
                      <m:rPr>
                        <m:sty m:val="p"/>
                      </m:rPr>
                      <m:t>+</m:t>
                    </m:r>
                    <m:r>
                      <m:t>1</m:t>
                    </m:r>
                  </m:sub>
                </m:sSub>
              </m:e>
            </m:mr>
            <m:mr>
              <m:e/>
              <m:e>
                <m:r>
                  <m:rPr>
                    <m:sty m:val="p"/>
                  </m:rPr>
                  <m:t>=</m:t>
                </m:r>
                <m:d>
                  <m:dPr>
                    <m:begChr m:val="("/>
                    <m:endChr m:val=")"/>
                    <m:sepChr m:val=""/>
                    <m:grow/>
                  </m:dPr>
                  <m:e>
                    <m:sSub>
                      <m:e>
                        <m:r>
                          <m:t>α</m:t>
                        </m:r>
                      </m:e>
                      <m:sub>
                        <m:r>
                          <m:t>0</m:t>
                        </m:r>
                      </m:sub>
                    </m:sSub>
                    <m:r>
                      <m:rPr>
                        <m:sty m:val="p"/>
                      </m:rPr>
                      <m:t>+</m:t>
                    </m:r>
                    <m:sSub>
                      <m:e>
                        <m:r>
                          <m:t>b</m:t>
                        </m:r>
                      </m:e>
                      <m:sub>
                        <m:r>
                          <m:t>i</m:t>
                        </m:r>
                        <m:r>
                          <m:t>0</m:t>
                        </m:r>
                      </m:sub>
                    </m:sSub>
                  </m:e>
                </m:d>
                <m:r>
                  <m:rPr>
                    <m:sty m:val="p"/>
                  </m:rPr>
                  <m:t>+</m:t>
                </m:r>
                <m:sSub>
                  <m:e>
                    <m:r>
                      <m:t>α</m:t>
                    </m:r>
                  </m:e>
                  <m:sub>
                    <m:r>
                      <m:t>1</m:t>
                    </m:r>
                  </m:sub>
                </m:sSub>
                <m:sSub>
                  <m:e>
                    <m:r>
                      <m:t>X</m:t>
                    </m:r>
                  </m:e>
                  <m:sub>
                    <m:r>
                      <m:t>i</m:t>
                    </m:r>
                    <m:r>
                      <m:t>t</m:t>
                    </m:r>
                  </m:sub>
                </m:sSub>
                <m:r>
                  <m:rPr>
                    <m:sty m:val="p"/>
                  </m:rPr>
                  <m:t>+</m:t>
                </m:r>
                <m:d>
                  <m:dPr>
                    <m:begChr m:val="("/>
                    <m:endChr m:val=")"/>
                    <m:sepChr m:val=""/>
                    <m:grow/>
                  </m:dPr>
                  <m:e>
                    <m:sSub>
                      <m:e>
                        <m:r>
                          <m:t>β</m:t>
                        </m:r>
                      </m:e>
                      <m:sub>
                        <m:r>
                          <m:t>0</m:t>
                        </m:r>
                      </m:sub>
                    </m:sSub>
                    <m:r>
                      <m:rPr>
                        <m:sty m:val="p"/>
                      </m:rPr>
                      <m:t>+</m:t>
                    </m:r>
                    <m:sSub>
                      <m:e>
                        <m:r>
                          <m:t>b</m:t>
                        </m:r>
                      </m:e>
                      <m:sub>
                        <m:r>
                          <m:t>i</m:t>
                        </m:r>
                        <m:r>
                          <m:t>2</m:t>
                        </m:r>
                      </m:sub>
                    </m:sSub>
                  </m:e>
                </m:d>
                <m:sSub>
                  <m:e>
                    <m:r>
                      <m:t>A</m:t>
                    </m:r>
                  </m:e>
                  <m:sub>
                    <m:r>
                      <m:t>i</m:t>
                    </m:r>
                    <m:r>
                      <m:t>t</m:t>
                    </m:r>
                  </m:sub>
                </m:sSub>
                <m:r>
                  <m:rPr>
                    <m:sty m:val="p"/>
                  </m:rPr>
                  <m:t>+</m:t>
                </m:r>
                <m:sSub>
                  <m:e>
                    <m:r>
                      <m:t>β</m:t>
                    </m:r>
                  </m:e>
                  <m:sub>
                    <m:r>
                      <m:t>1</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e>
            </m:mr>
            <m:mr>
              <m:e/>
              <m:e>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π</m:t>
                    </m:r>
                  </m:e>
                  <m:sub>
                    <m:r>
                      <m:t>3</m:t>
                    </m:r>
                    <m:r>
                      <m:t>i</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r>
                  <m:rPr>
                    <m:sty m:val="p"/>
                  </m:rPr>
                  <m:t>.</m:t>
                </m:r>
              </m:e>
            </m:mr>
          </m:m>
        </m:oMath>
      </m:oMathPara>
    </w:p>
    <w:p>
      <w:pPr>
        <w:pStyle w:val="FirstParagraph"/>
      </w:pPr>
      <w:r>
        <w:t xml:space="preserve">and at the between-person level (level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
                  <m:e>
                    <m:r>
                      <m:t>π</m:t>
                    </m:r>
                  </m:e>
                  <m:sub>
                    <m:r>
                      <m:t>0</m:t>
                    </m:r>
                    <m:r>
                      <m:t>i</m:t>
                    </m:r>
                  </m:sub>
                </m:sSub>
              </m:e>
              <m:e>
                <m:r>
                  <m:rPr>
                    <m:sty m:val="p"/>
                  </m:rPr>
                  <m:t>=</m:t>
                </m:r>
                <m:sSub>
                  <m:e>
                    <m:r>
                      <m:t>α</m:t>
                    </m:r>
                  </m:e>
                  <m:sub>
                    <m:r>
                      <m:t>0</m:t>
                    </m:r>
                  </m:sub>
                </m:sSub>
                <m:r>
                  <m:rPr>
                    <m:sty m:val="p"/>
                  </m:rPr>
                  <m:t>+</m:t>
                </m:r>
                <m:sSub>
                  <m:e>
                    <m:r>
                      <m:t>b</m:t>
                    </m:r>
                  </m:e>
                  <m:sub>
                    <m:r>
                      <m:t>i</m:t>
                    </m:r>
                    <m:r>
                      <m:t>0</m:t>
                    </m:r>
                  </m:sub>
                </m:sSub>
                <m:r>
                  <m:rPr>
                    <m:sty m:val="p"/>
                  </m:rPr>
                  <m:t>,</m:t>
                </m:r>
              </m:e>
              <m:e>
                <m:r>
                  <m:rPr>
                    <m:nor/>
                    <m:sty m:val="p"/>
                  </m:rPr>
                  <m:t>where</m:t>
                </m:r>
                <m:r>
                  <m:t> </m:t>
                </m:r>
                <m:sSub>
                  <m:e>
                    <m:r>
                      <m:t>b</m:t>
                    </m:r>
                  </m:e>
                  <m:sub>
                    <m:r>
                      <m:t>i</m:t>
                    </m:r>
                    <m:r>
                      <m:t>0</m:t>
                    </m:r>
                  </m:sub>
                </m:sSub>
              </m:e>
              <m:e>
                <m:r>
                  <m:rPr>
                    <m:sty m:val="p"/>
                  </m:rPr>
                  <m:t>∼</m:t>
                </m:r>
                <m:r>
                  <m:rPr>
                    <m:sty m:val="p"/>
                    <m:scr m:val="script"/>
                  </m:rPr>
                  <m:t>N</m:t>
                </m:r>
                <m:d>
                  <m:dPr>
                    <m:begChr m:val="("/>
                    <m:endChr m:val=")"/>
                    <m:sepChr m:val=""/>
                    <m:grow/>
                  </m:dPr>
                  <m:e>
                    <m:r>
                      <m:t>0</m:t>
                    </m:r>
                    <m:r>
                      <m:rPr>
                        <m:sty m:val="p"/>
                      </m:rPr>
                      <m:t>,</m:t>
                    </m:r>
                    <m:sSubSup>
                      <m:e>
                        <m:r>
                          <m:t>σ</m:t>
                        </m:r>
                      </m:e>
                      <m:sub>
                        <m:r>
                          <m:t>b</m:t>
                        </m:r>
                        <m:r>
                          <m:t>0</m:t>
                        </m:r>
                      </m:sub>
                      <m:sup>
                        <m:r>
                          <m:t>2</m:t>
                        </m:r>
                      </m:sup>
                    </m:sSubSup>
                  </m:e>
                </m:d>
                <m:r>
                  <m:rPr>
                    <m:sty m:val="p"/>
                  </m:rPr>
                  <m:t>,</m:t>
                </m:r>
              </m:e>
            </m:mr>
            <m:mr>
              <m:e>
                <m:sSub>
                  <m:e>
                    <m:r>
                      <m:t>π</m:t>
                    </m:r>
                  </m:e>
                  <m:sub>
                    <m:r>
                      <m:t>1</m:t>
                    </m:r>
                    <m:r>
                      <m:t>i</m:t>
                    </m:r>
                  </m:sub>
                </m:sSub>
              </m:e>
              <m:e>
                <m:r>
                  <m:rPr>
                    <m:sty m:val="p"/>
                  </m:rPr>
                  <m:t>=</m:t>
                </m:r>
                <m:sSub>
                  <m:e>
                    <m:r>
                      <m:t>α</m:t>
                    </m:r>
                  </m:e>
                  <m:sub>
                    <m:r>
                      <m:t>1</m:t>
                    </m:r>
                  </m:sub>
                </m:sSub>
                <m:r>
                  <m:rPr>
                    <m:sty m:val="p"/>
                  </m:rPr>
                  <m:t>,</m:t>
                </m:r>
              </m:e>
            </m:mr>
            <m:mr>
              <m:e>
                <m:sSub>
                  <m:e>
                    <m:r>
                      <m:t>π</m:t>
                    </m:r>
                  </m:e>
                  <m:sub>
                    <m:r>
                      <m:t>2</m:t>
                    </m:r>
                    <m:r>
                      <m:t>i</m:t>
                    </m:r>
                  </m:sub>
                </m:sSub>
              </m:e>
              <m:e>
                <m:r>
                  <m:rPr>
                    <m:sty m:val="p"/>
                  </m:rPr>
                  <m:t>=</m:t>
                </m:r>
                <m:sSub>
                  <m:e>
                    <m:r>
                      <m:t>β</m:t>
                    </m:r>
                  </m:e>
                  <m:sub>
                    <m:r>
                      <m:t>0</m:t>
                    </m:r>
                  </m:sub>
                </m:sSub>
                <m:r>
                  <m:rPr>
                    <m:sty m:val="p"/>
                  </m:rPr>
                  <m:t>+</m:t>
                </m:r>
                <m:sSub>
                  <m:e>
                    <m:r>
                      <m:t>b</m:t>
                    </m:r>
                  </m:e>
                  <m:sub>
                    <m:r>
                      <m:t>i</m:t>
                    </m:r>
                    <m:r>
                      <m:t>2</m:t>
                    </m:r>
                  </m:sub>
                </m:sSub>
                <m:r>
                  <m:rPr>
                    <m:sty m:val="p"/>
                  </m:rPr>
                  <m:t>,</m:t>
                </m:r>
              </m:e>
              <m:e>
                <m:r>
                  <m:rPr>
                    <m:nor/>
                    <m:sty m:val="p"/>
                  </m:rPr>
                  <m:t>where</m:t>
                </m:r>
                <m:r>
                  <m:t> </m:t>
                </m:r>
                <m:sSub>
                  <m:e>
                    <m:r>
                      <m:t>b</m:t>
                    </m:r>
                  </m:e>
                  <m:sub>
                    <m:r>
                      <m:t>i</m:t>
                    </m:r>
                    <m:r>
                      <m:t>2</m:t>
                    </m:r>
                  </m:sub>
                </m:sSub>
              </m:e>
              <m:e>
                <m:r>
                  <m:rPr>
                    <m:sty m:val="p"/>
                  </m:rPr>
                  <m:t>∼</m:t>
                </m:r>
                <m:r>
                  <m:rPr>
                    <m:sty m:val="p"/>
                    <m:scr m:val="script"/>
                  </m:rPr>
                  <m:t>N</m:t>
                </m:r>
                <m:d>
                  <m:dPr>
                    <m:begChr m:val="("/>
                    <m:endChr m:val=")"/>
                    <m:sepChr m:val=""/>
                    <m:grow/>
                  </m:dPr>
                  <m:e>
                    <m:r>
                      <m:t>0</m:t>
                    </m:r>
                    <m:r>
                      <m:rPr>
                        <m:sty m:val="p"/>
                      </m:rPr>
                      <m:t>,</m:t>
                    </m:r>
                    <m:sSubSup>
                      <m:e>
                        <m:r>
                          <m:t>σ</m:t>
                        </m:r>
                      </m:e>
                      <m:sub>
                        <m:r>
                          <m:t>b</m:t>
                        </m:r>
                        <m:r>
                          <m:t>2</m:t>
                        </m:r>
                      </m:sub>
                      <m:sup>
                        <m:r>
                          <m:t>2</m:t>
                        </m:r>
                      </m:sup>
                    </m:sSubSup>
                  </m:e>
                </m:d>
                <m:r>
                  <m:rPr>
                    <m:sty m:val="p"/>
                  </m:rPr>
                  <m:t>,</m:t>
                </m:r>
              </m:e>
            </m:mr>
            <m:mr>
              <m:e>
                <m:sSub>
                  <m:e>
                    <m:r>
                      <m:t>π</m:t>
                    </m:r>
                  </m:e>
                  <m:sub>
                    <m:r>
                      <m:t>3</m:t>
                    </m:r>
                    <m:r>
                      <m:t>i</m:t>
                    </m:r>
                  </m:sub>
                </m:sSub>
              </m:e>
              <m:e>
                <m:r>
                  <m:rPr>
                    <m:sty m:val="p"/>
                  </m:rPr>
                  <m:t>=</m:t>
                </m:r>
                <m:sSub>
                  <m:e>
                    <m:r>
                      <m:t>β</m:t>
                    </m:r>
                  </m:e>
                  <m:sub>
                    <m:r>
                      <m:t>1</m:t>
                    </m:r>
                  </m:sub>
                </m:sSub>
                <m:r>
                  <m:rPr>
                    <m:sty m:val="p"/>
                  </m:rPr>
                  <m:t>.</m:t>
                </m:r>
              </m:e>
            </m:mr>
          </m:m>
        </m:oMath>
      </m:oMathPara>
    </w:p>
    <w:p>
      <w:pPr>
        <w:pStyle w:val="FirstParagraph"/>
      </w:pPr>
      <w:r>
        <w:t xml:space="preserve">The parameters</w:t>
      </w:r>
      <w:r>
        <w:t xml:space="preserve"> </w:t>
      </w:r>
      <m:oMath>
        <m:sSub>
          <m:e>
            <m:r>
              <m:t>α</m:t>
            </m:r>
          </m:e>
          <m:sub>
            <m:r>
              <m:t>0</m:t>
            </m:r>
          </m:sub>
        </m:sSub>
        <m:r>
          <m:rPr>
            <m:sty m:val="p"/>
          </m:rPr>
          <m:t>=</m:t>
        </m:r>
        <m:r>
          <m:rPr>
            <m:sty m:val="p"/>
          </m:rPr>
          <m:t>−</m:t>
        </m:r>
        <m:r>
          <m:t>2</m:t>
        </m:r>
      </m:oMath>
      <w:r>
        <w:t xml:space="preserve">,</w:t>
      </w:r>
      <w:r>
        <w:t xml:space="preserve"> </w:t>
      </w:r>
      <m:oMath>
        <m:sSub>
          <m:e>
            <m:r>
              <m:t>α</m:t>
            </m:r>
          </m:e>
          <m:sub>
            <m:r>
              <m:t>1</m:t>
            </m:r>
          </m:sub>
        </m:sSub>
        <m:r>
          <m:rPr>
            <m:sty m:val="p"/>
          </m:rPr>
          <m:t>=</m:t>
        </m:r>
        <m:r>
          <m:rPr>
            <m:sty m:val="p"/>
          </m:rPr>
          <m:t>−</m:t>
        </m:r>
        <m:r>
          <m:t>0.3</m:t>
        </m:r>
      </m:oMath>
      <w:r>
        <w:t xml:space="preserve">,</w:t>
      </w:r>
      <w:r>
        <w:t xml:space="preserve"> </w:t>
      </w:r>
      <m:oMath>
        <m:sSub>
          <m:e>
            <m:r>
              <m:t>β</m:t>
            </m:r>
          </m:e>
          <m:sub>
            <m:r>
              <m:t>0</m:t>
            </m:r>
          </m:sub>
        </m:sSub>
        <m:r>
          <m:rPr>
            <m:sty m:val="p"/>
          </m:rPr>
          <m:t>=</m:t>
        </m:r>
        <m:r>
          <m:t>1</m:t>
        </m:r>
      </m:oMath>
      <w:r>
        <w:t xml:space="preserve">, and</w:t>
      </w:r>
      <w:r>
        <w:t xml:space="preserve"> </w:t>
      </w:r>
      <m:oMath>
        <m:sSub>
          <m:e>
            <m:r>
              <m:t>β</m:t>
            </m:r>
          </m:e>
          <m:sub>
            <m:r>
              <m:t>1</m:t>
            </m:r>
          </m:sub>
        </m:sSub>
        <m:r>
          <m:rPr>
            <m:sty m:val="p"/>
          </m:rPr>
          <m:t>=</m:t>
        </m:r>
        <m:r>
          <m:t>0.3</m:t>
        </m:r>
      </m:oMath>
      <w:r>
        <w:t xml:space="preserve"> </w:t>
      </w:r>
      <w:r>
        <w:t xml:space="preserve">are fixed effects that are constant across individuals, while</w:t>
      </w:r>
      <w:r>
        <w:t xml:space="preserve"> </w:t>
      </w:r>
      <m:oMath>
        <m:sSub>
          <m:e>
            <m:r>
              <m:t>b</m:t>
            </m:r>
          </m:e>
          <m:sub>
            <m:r>
              <m:t>i</m:t>
            </m:r>
            <m:r>
              <m:t>0</m:t>
            </m:r>
          </m:sub>
        </m:sSub>
      </m:oMath>
      <w:r>
        <w:t xml:space="preserve"> </w:t>
      </w:r>
      <w:r>
        <w:t xml:space="preserve">and</w:t>
      </w:r>
      <w:r>
        <w:t xml:space="preserve"> </w:t>
      </w:r>
      <m:oMath>
        <m:sSub>
          <m:e>
            <m:r>
              <m:t>b</m:t>
            </m:r>
          </m:e>
          <m:sub>
            <m:r>
              <m:t>i</m:t>
            </m:r>
            <m:r>
              <m:t>2</m:t>
            </m:r>
          </m:sub>
        </m:sSub>
      </m:oMath>
      <w:r>
        <w:t xml:space="preserve"> </w:t>
      </w:r>
      <w:r>
        <w:t xml:space="preserve">are independent random effects that capture individual-specific deviations from population parameters. The presence of the interaction term</w:t>
      </w:r>
      <w:r>
        <w:t xml:space="preserve"> </w:t>
      </w:r>
      <m:oMath>
        <m:sSub>
          <m:e>
            <m:r>
              <m:t>β</m:t>
            </m:r>
          </m:e>
          <m:sub>
            <m:r>
              <m:t>1</m:t>
            </m:r>
          </m:sub>
        </m:sSub>
      </m:oMath>
      <w:r>
        <w:t xml:space="preserve"> </w:t>
      </w:r>
      <w:r>
        <w:t xml:space="preserve">implies treatment heterogeneity: the effect of the treatment</w:t>
      </w:r>
      <w:r>
        <w:t xml:space="preserve"> </w:t>
      </w:r>
      <m:oMath>
        <m:sSub>
          <m:e>
            <m:r>
              <m:t>A</m:t>
            </m:r>
          </m:e>
          <m:sub>
            <m:r>
              <m:t>i</m:t>
            </m:r>
            <m:r>
              <m:t>t</m:t>
            </m:r>
          </m:sub>
        </m:sSub>
      </m:oMath>
      <w:r>
        <w:t xml:space="preserve"> </w:t>
      </w:r>
      <w:r>
        <w:t xml:space="preserve">on the outcome depends on the value of the covariate</w:t>
      </w:r>
      <w:r>
        <w:t xml:space="preserve"> </w:t>
      </w:r>
      <m:oMath>
        <m:sSub>
          <m:e>
            <m:r>
              <m:t>X</m:t>
            </m:r>
          </m:e>
          <m:sub>
            <m:r>
              <m:t>i</m:t>
            </m:r>
            <m:r>
              <m:t>t</m:t>
            </m:r>
          </m:sub>
        </m:sSub>
      </m:oMath>
      <w:r>
        <w:t xml:space="preserve">. The random intercept</w:t>
      </w:r>
      <w:r>
        <w:t xml:space="preserve"> </w:t>
      </w:r>
      <m:oMath>
        <m:sSub>
          <m:e>
            <m:r>
              <m:t>b</m:t>
            </m:r>
          </m:e>
          <m:sub>
            <m:r>
              <m:t>i</m:t>
            </m:r>
            <m:r>
              <m:t>0</m:t>
            </m:r>
          </m:sub>
        </m:sSub>
      </m:oMath>
      <w:r>
        <w:t xml:space="preserve"> </w:t>
      </w:r>
      <w:r>
        <w:t xml:space="preserve">and random slope</w:t>
      </w:r>
      <w:r>
        <w:t xml:space="preserve"> </w:t>
      </w:r>
      <m:oMath>
        <m:sSub>
          <m:e>
            <m:r>
              <m:t>b</m:t>
            </m:r>
          </m:e>
          <m:sub>
            <m:r>
              <m:t>i</m:t>
            </m:r>
            <m:r>
              <m:t>2</m:t>
            </m:r>
          </m:sub>
        </m:sSub>
      </m:oMath>
      <w:r>
        <w:t xml:space="preserve"> </w:t>
      </w:r>
      <w:r>
        <w:t xml:space="preserve">are assumed to be normally distributed with mean zero and variance</w:t>
      </w:r>
      <w:r>
        <w:t xml:space="preserve"> </w:t>
      </w:r>
      <m:oMath>
        <m:sSubSup>
          <m:e>
            <m:r>
              <m:t>σ</m:t>
            </m:r>
          </m:e>
          <m:sub>
            <m:r>
              <m:t>b</m:t>
            </m:r>
            <m:r>
              <m:t>0</m:t>
            </m:r>
          </m:sub>
          <m:sup>
            <m:r>
              <m:t>2</m:t>
            </m:r>
          </m:sup>
        </m:sSubSup>
        <m:r>
          <m:rPr>
            <m:sty m:val="p"/>
          </m:rPr>
          <m:t>=</m:t>
        </m:r>
        <m:r>
          <m:t>4</m:t>
        </m:r>
      </m:oMath>
      <w:r>
        <w:t xml:space="preserve"> </w:t>
      </w:r>
      <w:r>
        <w:t xml:space="preserve">and</w:t>
      </w:r>
      <w:r>
        <w:t xml:space="preserve"> </w:t>
      </w:r>
      <m:oMath>
        <m:sSubSup>
          <m:e>
            <m:r>
              <m:t>σ</m:t>
            </m:r>
          </m:e>
          <m:sub>
            <m:r>
              <m:t>b</m:t>
            </m:r>
            <m:r>
              <m:t>2</m:t>
            </m:r>
          </m:sub>
          <m:sup>
            <m:r>
              <m:t>2</m:t>
            </m:r>
          </m:sup>
        </m:sSubSup>
        <m:r>
          <m:rPr>
            <m:sty m:val="p"/>
          </m:rPr>
          <m:t>=</m:t>
        </m:r>
        <m:r>
          <m:t>1</m:t>
        </m:r>
      </m:oMath>
      <w:r>
        <w:t xml:space="preserve">, respectively.</w:t>
      </w:r>
      <w:r>
        <w:t xml:space="preserve"> </w:t>
      </w:r>
      <m:oMath>
        <m:sSub>
          <m:e>
            <m:r>
              <m:t>b</m:t>
            </m:r>
          </m:e>
          <m:sub>
            <m:r>
              <m:t>i</m:t>
            </m:r>
            <m:r>
              <m:t>0</m:t>
            </m:r>
          </m:sub>
        </m:sSub>
      </m:oMath>
      <w:r>
        <w:t xml:space="preserve"> </w:t>
      </w:r>
      <w:r>
        <w:t xml:space="preserve">represents deviations from the population intercept</w:t>
      </w:r>
      <w:r>
        <w:t xml:space="preserve"> </w:t>
      </w:r>
      <m:oMath>
        <m:sSub>
          <m:e>
            <m:r>
              <m:t>α</m:t>
            </m:r>
          </m:e>
          <m:sub>
            <m:r>
              <m:t>0</m:t>
            </m:r>
          </m:sub>
        </m:sSub>
      </m:oMath>
      <w:r>
        <w:t xml:space="preserve">, and</w:t>
      </w:r>
      <w:r>
        <w:t xml:space="preserve"> </w:t>
      </w:r>
      <m:oMath>
        <m:sSub>
          <m:e>
            <m:r>
              <m:t>b</m:t>
            </m:r>
          </m:e>
          <m:sub>
            <m:r>
              <m:t>i</m:t>
            </m:r>
            <m:r>
              <m:t>2</m:t>
            </m:r>
          </m:sub>
        </m:sSub>
      </m:oMath>
      <w:r>
        <w:t xml:space="preserve"> </w:t>
      </w:r>
      <w:r>
        <w:t xml:space="preserve">represents deviations from the population slope</w:t>
      </w:r>
      <w:r>
        <w:t xml:space="preserve"> </w:t>
      </w:r>
      <m:oMath>
        <m:sSub>
          <m:e>
            <m:r>
              <m:t>β</m:t>
            </m:r>
          </m:e>
          <m:sub>
            <m:r>
              <m:t>0</m:t>
            </m:r>
          </m:sub>
        </m:sSub>
      </m:oMath>
      <w:r>
        <w:t xml:space="preserve">. The exogenous noise</w:t>
      </w:r>
      <w:r>
        <w:t xml:space="preserve"> </w:t>
      </w:r>
      <m:oMath>
        <m:sSub>
          <m:e>
            <m:r>
              <m:t>ϵ</m:t>
            </m:r>
          </m:e>
          <m:sub>
            <m:r>
              <m:t>i</m:t>
            </m:r>
            <m:r>
              <m:t>t</m:t>
            </m:r>
            <m:r>
              <m:rPr>
                <m:sty m:val="p"/>
              </m:rPr>
              <m:t>+</m:t>
            </m:r>
            <m:r>
              <m:t>1</m:t>
            </m:r>
          </m:sub>
        </m:sSub>
      </m:oMath>
      <w:r>
        <w:t xml:space="preserve"> </w:t>
      </w:r>
      <w:r>
        <w:t xml:space="preserve">in the outcome is normally distributed with mean zero and variance</w:t>
      </w:r>
      <w:r>
        <w:t xml:space="preserve"> </w:t>
      </w:r>
      <m:oMath>
        <m:sSubSup>
          <m:e>
            <m:r>
              <m:t>σ</m:t>
            </m:r>
          </m:e>
          <m:sub>
            <m:r>
              <m:t>ϵ</m:t>
            </m:r>
          </m:sub>
          <m:sup>
            <m:r>
              <m:t>2</m:t>
            </m:r>
          </m:sup>
        </m:sSubSup>
        <m:r>
          <m:rPr>
            <m:sty m:val="p"/>
          </m:rPr>
          <m:t>=</m:t>
        </m:r>
        <m:r>
          <m:t>1</m:t>
        </m:r>
      </m:oMath>
      <w:r>
        <w:t xml:space="preserve">.</w:t>
      </w:r>
    </w:p>
    <w:p>
      <w:pPr>
        <w:pStyle w:val="BodyText"/>
      </w:pPr>
      <w:r>
        <w:t xml:space="preserve">The covariate is generated as:</w:t>
      </w:r>
    </w:p>
    <w:p>
      <w:pPr>
        <w:pStyle w:val="BodyText"/>
      </w:pPr>
      <m:oMathPara>
        <m:oMathParaPr>
          <m:jc m:val="center"/>
        </m:oMathParaPr>
        <m:oMath>
          <m:sSub>
            <m:e>
              <m:r>
                <m:t>X</m:t>
              </m:r>
            </m:e>
            <m:sub>
              <m:r>
                <m:t>i</m:t>
              </m:r>
              <m:r>
                <m:t>t</m:t>
              </m:r>
            </m:sub>
          </m:sSub>
          <m:r>
            <m:rPr>
              <m:sty m:val="p"/>
            </m:rPr>
            <m:t>=</m:t>
          </m:r>
          <m:d>
            <m:dPr>
              <m:begChr m:val="{"/>
              <m:endChr m:val=""/>
              <m:sepChr m:val=""/>
              <m:grow/>
            </m:dPr>
            <m:e>
              <m:m>
                <m:mPr>
                  <m:baseJc m:val="center"/>
                  <m:plcHide m:val="on"/>
                  <m:mcs>
                    <m:mc>
                      <m:mcPr>
                        <m:mcJc m:val="left"/>
                        <m:count m:val="1"/>
                      </m:mcPr>
                    </m:mc>
                    <m:mc>
                      <m:mcPr>
                        <m:mcJc m:val="left"/>
                        <m:count m:val="1"/>
                      </m:mcPr>
                    </m:mc>
                  </m:mcs>
                </m:mPr>
                <m:mr>
                  <m:e>
                    <m:sSub>
                      <m:e>
                        <m:r>
                          <m:t>b</m:t>
                        </m:r>
                      </m:e>
                      <m:sub>
                        <m:r>
                          <m:t>i</m:t>
                        </m:r>
                        <m:r>
                          <m:t>0</m:t>
                        </m:r>
                      </m:sub>
                    </m:sSub>
                    <m:r>
                      <m:rPr>
                        <m:sty m:val="p"/>
                      </m:rPr>
                      <m:t>+</m:t>
                    </m:r>
                    <m:sSub>
                      <m:e>
                        <m:r>
                          <m:t>ϵ</m:t>
                        </m:r>
                      </m:e>
                      <m:sub>
                        <m:sSub>
                          <m:e>
                            <m:r>
                              <m:t>X</m:t>
                            </m:r>
                          </m:e>
                          <m:sub>
                            <m:r>
                              <m:t>i</m:t>
                            </m:r>
                            <m:r>
                              <m:t>t</m:t>
                            </m:r>
                          </m:sub>
                        </m:sSub>
                      </m:sub>
                    </m:sSub>
                  </m:e>
                  <m:e>
                    <m:r>
                      <m:rPr>
                        <m:nor/>
                        <m:sty m:val="p"/>
                      </m:rPr>
                      <m:t>if </m:t>
                    </m:r>
                    <m:r>
                      <m:t>t</m:t>
                    </m:r>
                    <m:r>
                      <m:rPr>
                        <m:sty m:val="p"/>
                      </m:rPr>
                      <m:t>=</m:t>
                    </m:r>
                    <m:r>
                      <m:t>1</m:t>
                    </m:r>
                    <m:r>
                      <m:rPr>
                        <m:sty m:val="p"/>
                      </m:rPr>
                      <m:t>,</m:t>
                    </m:r>
                  </m:e>
                </m:mr>
                <m:mr>
                  <m:e>
                    <m:sSub>
                      <m:e>
                        <m:r>
                          <m:t>b</m:t>
                        </m:r>
                      </m:e>
                      <m:sub>
                        <m:r>
                          <m:t>i</m:t>
                        </m:r>
                        <m:r>
                          <m:t>0</m:t>
                        </m:r>
                      </m:sub>
                    </m:sSub>
                    <m:r>
                      <m:rPr>
                        <m:sty m:val="p"/>
                      </m:rPr>
                      <m:t>+</m:t>
                    </m:r>
                    <m:sSub>
                      <m:e>
                        <m:r>
                          <m:t>Y</m:t>
                        </m:r>
                      </m:e>
                      <m:sub>
                        <m:r>
                          <m:t>i</m:t>
                        </m:r>
                        <m:r>
                          <m:t>t</m:t>
                        </m:r>
                      </m:sub>
                    </m:sSub>
                    <m:r>
                      <m:rPr>
                        <m:sty m:val="p"/>
                      </m:rPr>
                      <m:t>+</m:t>
                    </m:r>
                    <m:sSub>
                      <m:e>
                        <m:r>
                          <m:t>ϵ</m:t>
                        </m:r>
                      </m:e>
                      <m:sub>
                        <m:sSub>
                          <m:e>
                            <m:r>
                              <m:t>X</m:t>
                            </m:r>
                          </m:e>
                          <m:sub>
                            <m:r>
                              <m:t>i</m:t>
                            </m:r>
                            <m:r>
                              <m:t>t</m:t>
                            </m:r>
                          </m:sub>
                        </m:sSub>
                      </m:sub>
                    </m:sSub>
                  </m:e>
                  <m:e>
                    <m:r>
                      <m:rPr>
                        <m:nor/>
                        <m:sty m:val="p"/>
                      </m:rPr>
                      <m:t>if </m:t>
                    </m:r>
                    <m:r>
                      <m:t>t</m:t>
                    </m:r>
                    <m:r>
                      <m:rPr>
                        <m:sty m:val="p"/>
                      </m:rPr>
                      <m:t>≥</m:t>
                    </m:r>
                    <m:r>
                      <m:t>2</m:t>
                    </m:r>
                    <m:r>
                      <m:rPr>
                        <m:sty m:val="p"/>
                      </m:rPr>
                      <m:t>,</m:t>
                    </m:r>
                  </m:e>
                </m:mr>
              </m:m>
            </m:e>
          </m:d>
          <m:r>
            <m:t> </m:t>
          </m:r>
          <m:r>
            <m:rPr>
              <m:nor/>
              <m:sty m:val="p"/>
            </m:rPr>
            <m:t>where</m:t>
          </m:r>
          <m:r>
            <m:t> </m:t>
          </m:r>
          <m:sSub>
            <m:e>
              <m:r>
                <m:t>ϵ</m:t>
              </m:r>
            </m:e>
            <m:sub>
              <m:sSub>
                <m:e>
                  <m:r>
                    <m:t>X</m:t>
                  </m:r>
                </m:e>
                <m:sub>
                  <m:r>
                    <m:t>i</m:t>
                  </m:r>
                  <m:r>
                    <m:t>t</m:t>
                  </m:r>
                </m:sub>
              </m:sSub>
            </m:sub>
          </m:sSub>
          <m:r>
            <m:rPr>
              <m:sty m:val="p"/>
            </m:rPr>
            <m:t>∼</m:t>
          </m:r>
          <m:r>
            <m:rPr>
              <m:sty m:val="p"/>
              <m:scr m:val="script"/>
            </m:rPr>
            <m:t>N</m:t>
          </m:r>
          <m:d>
            <m:dPr>
              <m:begChr m:val="("/>
              <m:endChr m:val=")"/>
              <m:sepChr m:val=""/>
              <m:grow/>
            </m:dPr>
            <m:e>
              <m:r>
                <m:t>0</m:t>
              </m:r>
              <m:r>
                <m:rPr>
                  <m:sty m:val="p"/>
                </m:rPr>
                <m:t>,</m:t>
              </m:r>
              <m:r>
                <m:t>1</m:t>
              </m:r>
            </m:e>
          </m:d>
        </m:oMath>
      </m:oMathPara>
    </w:p>
    <w:p>
      <w:pPr>
        <w:pStyle w:val="FirstParagraph"/>
      </w:pPr>
      <w:r>
        <w:t xml:space="preserve">The treatment randomization probability is constant at</w:t>
      </w:r>
      <w:r>
        <w:t xml:space="preserve"> </w:t>
      </w:r>
      <m:oMath>
        <m:sSub>
          <m:e>
            <m:r>
              <m:t>p</m:t>
            </m:r>
          </m:e>
          <m:sub>
            <m:r>
              <m:t>t</m:t>
            </m:r>
          </m:sub>
        </m:sSub>
        <m:r>
          <m:rPr>
            <m:sty m:val="p"/>
          </m:rPr>
          <m:t>=</m:t>
        </m:r>
        <m:r>
          <m:t>0.5</m:t>
        </m:r>
      </m:oMath>
      <w:r>
        <w:t xml:space="preserve">, so</w:t>
      </w:r>
      <w:r>
        <w:t xml:space="preserve"> </w:t>
      </w:r>
      <m:oMath>
        <m:sSub>
          <m:e>
            <m:r>
              <m:t>A</m:t>
            </m:r>
          </m:e>
          <m:sub>
            <m:r>
              <m:t>i</m:t>
            </m:r>
            <m:r>
              <m:t>t</m:t>
            </m:r>
          </m:sub>
        </m:sSub>
        <m:r>
          <m:rPr>
            <m:sty m:val="p"/>
          </m:rPr>
          <m:t>∼</m:t>
        </m:r>
        <m:r>
          <m:rPr>
            <m:nor/>
            <m:sty m:val="p"/>
          </m:rPr>
          <m:t>Bernoulli</m:t>
        </m:r>
        <m:d>
          <m:dPr>
            <m:begChr m:val="("/>
            <m:endChr m:val=")"/>
            <m:sepChr m:val=""/>
            <m:grow/>
          </m:dPr>
          <m:e>
            <m:r>
              <m:t>0.5</m:t>
            </m:r>
          </m:e>
        </m:d>
      </m:oMath>
      <w:r>
        <w:t xml:space="preserve"> </w:t>
      </w:r>
      <w:r>
        <w:t xml:space="preserve">for all</w:t>
      </w:r>
      <w:r>
        <w:t xml:space="preserve"> </w:t>
      </w:r>
      <m:oMath>
        <m:r>
          <m:t>i</m:t>
        </m:r>
      </m:oMath>
      <w:r>
        <w:t xml:space="preserve"> </w:t>
      </w:r>
      <w:r>
        <w:t xml:space="preserve">and</w:t>
      </w:r>
      <w:r>
        <w:t xml:space="preserve"> </w:t>
      </w:r>
      <m:oMath>
        <m:r>
          <m:t>t</m:t>
        </m:r>
      </m:oMath>
      <w:r>
        <w:t xml:space="preserve">. In other words, for every given person</w:t>
      </w:r>
      <w:r>
        <w:t xml:space="preserve"> </w:t>
      </w:r>
      <m:oMath>
        <m:r>
          <m:t>i</m:t>
        </m:r>
      </m:oMath>
      <w:r>
        <w:t xml:space="preserve"> </w:t>
      </w:r>
      <w:r>
        <w:t xml:space="preserve">and every timepoint</w:t>
      </w:r>
      <w:r>
        <w:t xml:space="preserve"> </w:t>
      </w:r>
      <m:oMath>
        <m:r>
          <m:t>t</m:t>
        </m:r>
      </m:oMath>
      <w:r>
        <w:t xml:space="preserve">, the probability that treatment is assigned is equivalent to a fair coinflip. Relationships between the (observed and latent) variables are illustrated in</w:t>
      </w:r>
      <w:r>
        <w:t xml:space="preserve"> </w:t>
      </w:r>
      <w:hyperlink w:anchor="fig-GMG_path">
        <w:r>
          <w:rPr>
            <w:rStyle w:val="Hyperlink"/>
          </w:rPr>
          <w:t xml:space="preserve">Figure 1 (a)</w:t>
        </w:r>
      </w:hyperlink>
      <w:r>
        <w:t xml:space="preserve">.</w:t>
      </w:r>
    </w:p>
    <w:bookmarkEnd w:id="23"/>
    <w:bookmarkStart w:id="27" w:name="special-cases-generative-model-a-b-and-c"/>
    <w:p>
      <w:pPr>
        <w:pStyle w:val="Heading3"/>
      </w:pPr>
      <w:r>
        <w:t xml:space="preserve">Special Cases: Generative Model A, B and C</w:t>
      </w:r>
    </w:p>
    <w:p>
      <w:pPr>
        <w:pStyle w:val="FirstParagraph"/>
      </w:pPr>
      <w:r>
        <w:t xml:space="preserve">We consider three special cases of GM G, namely GM A, B and C. The relation of each special case to GM G is summarized in</w:t>
      </w:r>
      <w:r>
        <w:t xml:space="preserve"> </w:t>
      </w:r>
      <w:hyperlink w:anchor="tbl-gm-differences">
        <w:r>
          <w:rPr>
            <w:rStyle w:val="Hyperlink"/>
          </w:rPr>
          <w:t xml:space="preserve">Table 1</w:t>
        </w:r>
      </w:hyperlink>
      <w:r>
        <w:t xml:space="preserve">. The specifics of each special case are described below.</w:t>
      </w:r>
    </w:p>
    <w:tbl>
      <w:tblPr>
        <w:tblStyle w:val="Table"/>
        <w:tblW w:type="pct" w:w="5000"/>
        <w:tblLayout w:type="fixed"/>
        <w:tblLook w:firstRow="0" w:lastRow="0" w:firstColumn="0" w:lastColumn="0" w:noHBand="0" w:noVBand="0" w:val="0000"/>
      </w:tblPr>
      <w:tblGrid>
        <w:gridCol w:w="7920"/>
      </w:tblGrid>
      <w:tr>
        <w:tc>
          <w:tcPr/>
          <w:bookmarkStart w:id="24" w:name="tbl-gm-differences"/>
          <w:p>
            <w:pPr>
              <w:jc w:val="center"/>
            </w:pPr>
            <w:pPr>
              <w:jc w:val="start"/>
              <w:spacing w:before="200"/>
              <w:pStyle w:val="ImageCaption"/>
            </w:pPr>
            <w:r>
              <w:t xml:space="preserve">Table 1: Summary of Differences Between Generative Models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Generative Model</w:t>
                  </w:r>
                </w:p>
              </w:tc>
              <w:tc>
                <w:tcPr/>
                <w:p>
                  <w:pPr>
                    <w:pStyle w:val="Compact"/>
                    <w:jc w:val="left"/>
                    <w:jc w:val="center"/>
                  </w:pPr>
                  <w:r>
                    <w:t xml:space="preserve">Name in</w:t>
                  </w:r>
                  <w:r>
                    <w:t xml:space="preserve"> </w:t>
                  </w:r>
                  <w:r>
                    <w:t xml:space="preserve">Qian et al. (</w:t>
                  </w:r>
                  <w:hyperlink w:anchor="ref-qian2020">
                    <w:r>
                      <w:rPr>
                        <w:rStyle w:val="Hyperlink"/>
                      </w:rPr>
                      <w:t xml:space="preserve">2020</w:t>
                    </w:r>
                  </w:hyperlink>
                  <w:r>
                    <w:t xml:space="preserve">)</w:t>
                  </w:r>
                </w:p>
              </w:tc>
              <w:tc>
                <w:tcPr/>
                <w:p>
                  <w:pPr>
                    <w:pStyle w:val="Compact"/>
                    <w:jc w:val="left"/>
                    <w:jc w:val="center"/>
                  </w:pPr>
                  <w:r>
                    <w:t xml:space="preserve">dependency</w:t>
                  </w:r>
                  <w:r>
                    <w:t xml:space="preserve"> </w:t>
                  </w:r>
                  <m:oMath>
                    <m:sSub>
                      <m:e>
                        <m:r>
                          <m:t>b</m:t>
                        </m:r>
                      </m:e>
                      <m:sub>
                        <m:r>
                          <m:t>i</m:t>
                        </m:r>
                        <m:r>
                          <m:t>0</m:t>
                        </m:r>
                      </m:sub>
                    </m:sSub>
                  </m:oMath>
                  <w:r>
                    <w:t xml:space="preserve"> </w:t>
                  </w:r>
                  <w:r>
                    <w:t xml:space="preserve">and</w:t>
                  </w:r>
                  <w:r>
                    <w:t xml:space="preserve"> </w:t>
                  </w:r>
                  <m:oMath>
                    <m:sSub>
                      <m:e>
                        <m:r>
                          <m:t>X</m:t>
                        </m:r>
                      </m:e>
                      <m:sub>
                        <m:r>
                          <m:t>i</m:t>
                        </m:r>
                        <m:r>
                          <m:t>t</m:t>
                        </m:r>
                      </m:sub>
                    </m:sSub>
                  </m:oMath>
                </w:p>
              </w:tc>
              <w:tc>
                <w:tcPr/>
                <w:p>
                  <w:pPr>
                    <w:pStyle w:val="Compact"/>
                    <w:jc w:val="left"/>
                    <w:jc w:val="center"/>
                  </w:pPr>
                  <w:r>
                    <w:t xml:space="preserve">random slope treatment</w:t>
                  </w:r>
                  <w:r>
                    <w:t xml:space="preserve"> </w:t>
                  </w:r>
                  <m:oMath>
                    <m:sSub>
                      <m:e>
                        <m:r>
                          <m:t>b</m:t>
                        </m:r>
                      </m:e>
                      <m:sub>
                        <m:r>
                          <m:t>i</m:t>
                        </m:r>
                        <m:r>
                          <m:t>2</m:t>
                        </m:r>
                      </m:sub>
                    </m:sSub>
                  </m:oMath>
                </w:p>
              </w:tc>
              <w:tc>
                <w:tcPr/>
                <w:p>
                  <w:pPr>
                    <w:pStyle w:val="Compact"/>
                    <w:jc w:val="left"/>
                    <w:jc w:val="center"/>
                  </w:pPr>
                  <w:r>
                    <w:t xml:space="preserve">interaction</w:t>
                  </w:r>
                  <w:r>
                    <w:t xml:space="preserve"> </w:t>
                  </w:r>
                  <m:oMath>
                    <m:sSub>
                      <m:e>
                        <m:r>
                          <m:t>β</m:t>
                        </m:r>
                      </m:e>
                      <m:sub>
                        <m:r>
                          <m:t>1</m:t>
                        </m:r>
                      </m:sub>
                    </m:sSub>
                  </m:oMath>
                </w:p>
              </w:tc>
            </w:tr>
            <w:tr>
              <w:tc>
                <w:tcPr/>
                <w:p>
                  <w:pPr>
                    <w:pStyle w:val="Compact"/>
                    <w:jc w:val="left"/>
                    <w:jc w:val="center"/>
                  </w:pPr>
                  <w:r>
                    <w:t xml:space="preserve">G(eneral)</w:t>
                  </w:r>
                </w:p>
              </w:tc>
              <w:tc>
                <w:tcPr/>
                <w:p>
                  <w:pPr>
                    <w:pStyle w:val="Compact"/>
                    <w:jc w:val="left"/>
                    <w:jc w:val="center"/>
                  </w:pPr>
                  <w:r>
                    <w:t xml:space="preserve">3</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A</w:t>
                  </w:r>
                </w:p>
              </w:tc>
              <w:tc>
                <w:tcPr/>
                <w:p>
                  <w:pPr>
                    <w:pStyle w:val="Compact"/>
                    <w:jc w:val="left"/>
                    <w:jc w:val="center"/>
                  </w:pPr>
                  <w:r>
                    <w:t xml:space="preserve">1</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B</w:t>
                  </w:r>
                </w:p>
              </w:tc>
              <w:tc>
                <w:tcPr/>
                <w:p>
                  <w:pPr>
                    <w:pStyle w:val="Compact"/>
                    <w:jc w:val="left"/>
                    <w:jc w:val="center"/>
                  </w:pPr>
                  <w:r>
                    <w:t xml:space="preserve">NA</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C</w:t>
                  </w:r>
                </w:p>
              </w:tc>
              <w:tc>
                <w:tcPr/>
                <w:p>
                  <w:pPr>
                    <w:pStyle w:val="Compact"/>
                    <w:jc w:val="left"/>
                    <w:jc w:val="center"/>
                  </w:pPr>
                  <w:r>
                    <w:t xml:space="preserve">NA</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bl>
          <w:bookmarkEnd w:id="24"/>
          <w:p/>
        </w:tc>
      </w:tr>
    </w:tbl>
    <w:p>
      <w:pPr>
        <w:pStyle w:val="BodyText"/>
      </w:pPr>
      <w:r>
        <w:t xml:space="preserve">GM A is a special case of GM G, where the effect of the random intercept</w:t>
      </w:r>
      <w:r>
        <w:t xml:space="preserve"> </w:t>
      </w:r>
      <m:oMath>
        <m:sSub>
          <m:e>
            <m:r>
              <m:t>b</m:t>
            </m:r>
          </m:e>
          <m:sub>
            <m:r>
              <m:t>i</m:t>
            </m:r>
            <m:r>
              <m:t>0</m:t>
            </m:r>
          </m:sub>
        </m:sSub>
      </m:oMath>
      <w:r>
        <w:t xml:space="preserve"> </w:t>
      </w:r>
      <w:r>
        <w:t xml:space="preserve">on the covariate</w:t>
      </w:r>
      <w:r>
        <w:t xml:space="preserve"> </w:t>
      </w:r>
      <m:oMath>
        <m:sSub>
          <m:e>
            <m:r>
              <m:t>X</m:t>
            </m:r>
          </m:e>
          <m:sub>
            <m:r>
              <m:t>i</m:t>
            </m:r>
            <m:r>
              <m:t>t</m:t>
            </m:r>
          </m:sub>
        </m:sSub>
      </m:oMath>
      <w:r>
        <w:t xml:space="preserve"> </w:t>
      </w:r>
      <w:r>
        <w:t xml:space="preserve">is set to zero. This results in a model where the covariate</w:t>
      </w:r>
      <w:r>
        <w:t xml:space="preserve"> </w:t>
      </w:r>
      <m:oMath>
        <m:sSub>
          <m:e>
            <m:r>
              <m:t>X</m:t>
            </m:r>
          </m:e>
          <m:sub>
            <m:r>
              <m:t>i</m:t>
            </m:r>
            <m:r>
              <m:t>t</m:t>
            </m:r>
          </m:sub>
        </m:sSub>
      </m:oMath>
      <w:r>
        <w:t xml:space="preserve"> </w:t>
      </w:r>
      <w:r>
        <w:t xml:space="preserve">is not directly determined by the random intercept</w:t>
      </w:r>
      <w:r>
        <w:t xml:space="preserve"> </w:t>
      </w:r>
      <m:oMath>
        <m:sSub>
          <m:e>
            <m:r>
              <m:t>b</m:t>
            </m:r>
          </m:e>
          <m:sub>
            <m:r>
              <m:t>i</m:t>
            </m:r>
            <m:r>
              <m:t>0</m:t>
            </m:r>
          </m:sub>
        </m:sSub>
      </m:oMath>
      <w:r>
        <w:t xml:space="preserve"> </w:t>
      </w:r>
      <w:r>
        <w:t xml:space="preserve">(see</w:t>
      </w:r>
      <w:r>
        <w:t xml:space="preserve"> </w:t>
      </w:r>
      <w:hyperlink w:anchor="fig-GMA_path">
        <w:r>
          <w:rPr>
            <w:rStyle w:val="Hyperlink"/>
          </w:rPr>
          <w:t xml:space="preserve">Figure 1 (b)</w:t>
        </w:r>
      </w:hyperlink>
      <w:r>
        <w:t xml:space="preserve">). Instead, the endogenous covariate</w:t>
      </w:r>
      <w:r>
        <w:t xml:space="preserve"> </w:t>
      </w:r>
      <m:oMath>
        <m:sSub>
          <m:e>
            <m:r>
              <m:t>X</m:t>
            </m:r>
          </m:e>
          <m:sub>
            <m:r>
              <m:t>i</m:t>
            </m:r>
            <m:r>
              <m:t>t</m:t>
            </m:r>
          </m:sub>
        </m:sSub>
      </m:oMath>
      <w:r>
        <w:t xml:space="preserve"> </w:t>
      </w:r>
      <w:r>
        <w:t xml:space="preserve">equals the previous outcome</w:t>
      </w:r>
      <w:r>
        <w:t xml:space="preserve"> </w:t>
      </w:r>
      <m:oMath>
        <m:sSub>
          <m:e>
            <m:r>
              <m:t>Y</m:t>
            </m:r>
          </m:e>
          <m:sub>
            <m:r>
              <m:t>i</m:t>
            </m:r>
            <m:r>
              <m:t>t</m:t>
            </m:r>
          </m:sub>
        </m:sSub>
      </m:oMath>
      <w:r>
        <w:t xml:space="preserve"> </w:t>
      </w:r>
      <w:r>
        <w:t xml:space="preserve">plus some random noise:</w:t>
      </w:r>
    </w:p>
    <w:p>
      <w:pPr>
        <w:pStyle w:val="BodyText"/>
      </w:pPr>
      <m:oMathPara>
        <m:oMathParaPr>
          <m:jc m:val="center"/>
        </m:oMathParaPr>
        <m:oMath>
          <m:sSub>
            <m:e>
              <m:r>
                <m:t>X</m:t>
              </m:r>
            </m:e>
            <m:sub>
              <m:r>
                <m:t>i</m:t>
              </m:r>
              <m:r>
                <m:t>t</m:t>
              </m:r>
            </m:sub>
          </m:sSub>
          <m:r>
            <m:rPr>
              <m:sty m:val="p"/>
            </m:rPr>
            <m:t>=</m:t>
          </m:r>
          <m:d>
            <m:dPr>
              <m:begChr m:val="{"/>
              <m:endChr m:val=""/>
              <m:sepChr m:val=""/>
              <m:grow/>
            </m:dPr>
            <m:e>
              <m:m>
                <m:mPr>
                  <m:baseJc m:val="center"/>
                  <m:plcHide m:val="on"/>
                  <m:mcs>
                    <m:mc>
                      <m:mcPr>
                        <m:mcJc m:val="left"/>
                        <m:count m:val="1"/>
                      </m:mcPr>
                    </m:mc>
                    <m:mc>
                      <m:mcPr>
                        <m:mcJc m:val="left"/>
                        <m:count m:val="1"/>
                      </m:mcPr>
                    </m:mc>
                  </m:mcs>
                </m:mPr>
                <m:mr>
                  <m:e>
                    <m:sSub>
                      <m:e>
                        <m:r>
                          <m:t>ϵ</m:t>
                        </m:r>
                      </m:e>
                      <m:sub>
                        <m:sSub>
                          <m:e>
                            <m:r>
                              <m:t>X</m:t>
                            </m:r>
                          </m:e>
                          <m:sub>
                            <m:r>
                              <m:t>i</m:t>
                            </m:r>
                            <m:r>
                              <m:t>t</m:t>
                            </m:r>
                          </m:sub>
                        </m:sSub>
                      </m:sub>
                    </m:sSub>
                  </m:e>
                  <m:e>
                    <m:r>
                      <m:rPr>
                        <m:nor/>
                        <m:sty m:val="p"/>
                      </m:rPr>
                      <m:t>if </m:t>
                    </m:r>
                    <m:r>
                      <m:t>t</m:t>
                    </m:r>
                    <m:r>
                      <m:rPr>
                        <m:sty m:val="p"/>
                      </m:rPr>
                      <m:t>=</m:t>
                    </m:r>
                    <m:r>
                      <m:t>1</m:t>
                    </m:r>
                    <m:r>
                      <m:rPr>
                        <m:sty m:val="p"/>
                      </m:rPr>
                      <m:t>,</m:t>
                    </m:r>
                  </m:e>
                </m:mr>
                <m:mr>
                  <m:e>
                    <m:sSub>
                      <m:e>
                        <m:r>
                          <m:t>Y</m:t>
                        </m:r>
                      </m:e>
                      <m:sub>
                        <m:r>
                          <m:t>i</m:t>
                        </m:r>
                        <m:r>
                          <m:t>t</m:t>
                        </m:r>
                      </m:sub>
                    </m:sSub>
                    <m:r>
                      <m:rPr>
                        <m:sty m:val="p"/>
                      </m:rPr>
                      <m:t>+</m:t>
                    </m:r>
                    <m:sSub>
                      <m:e>
                        <m:r>
                          <m:t>ϵ</m:t>
                        </m:r>
                      </m:e>
                      <m:sub>
                        <m:sSub>
                          <m:e>
                            <m:r>
                              <m:t>X</m:t>
                            </m:r>
                          </m:e>
                          <m:sub>
                            <m:r>
                              <m:t>i</m:t>
                            </m:r>
                            <m:r>
                              <m:t>t</m:t>
                            </m:r>
                          </m:sub>
                        </m:sSub>
                      </m:sub>
                    </m:sSub>
                  </m:e>
                  <m:e>
                    <m:r>
                      <m:rPr>
                        <m:nor/>
                        <m:sty m:val="p"/>
                      </m:rPr>
                      <m:t>if </m:t>
                    </m:r>
                    <m:r>
                      <m:t>t</m:t>
                    </m:r>
                    <m:r>
                      <m:rPr>
                        <m:sty m:val="p"/>
                      </m:rPr>
                      <m:t>≥</m:t>
                    </m:r>
                    <m:r>
                      <m:t>2</m:t>
                    </m:r>
                    <m:r>
                      <m:rPr>
                        <m:sty m:val="p"/>
                      </m:rPr>
                      <m:t>,</m:t>
                    </m:r>
                  </m:e>
                </m:mr>
              </m:m>
            </m:e>
          </m:d>
          <m:r>
            <m:t> </m:t>
          </m:r>
          <m:r>
            <m:rPr>
              <m:nor/>
              <m:sty m:val="p"/>
            </m:rPr>
            <m:t>where</m:t>
          </m:r>
          <m:r>
            <m:t> </m:t>
          </m:r>
          <m:sSub>
            <m:e>
              <m:r>
                <m:t>ϵ</m:t>
              </m:r>
            </m:e>
            <m:sub>
              <m:sSub>
                <m:e>
                  <m:r>
                    <m:t>X</m:t>
                  </m:r>
                </m:e>
                <m:sub>
                  <m:r>
                    <m:t>i</m:t>
                  </m:r>
                  <m:r>
                    <m:t>t</m:t>
                  </m:r>
                </m:sub>
              </m:sSub>
            </m:sub>
          </m:sSub>
          <m:r>
            <m:rPr>
              <m:sty m:val="p"/>
            </m:rPr>
            <m:t>∼</m:t>
          </m:r>
          <m:r>
            <m:rPr>
              <m:sty m:val="p"/>
              <m:scr m:val="script"/>
            </m:rPr>
            <m:t>N</m:t>
          </m:r>
          <m:d>
            <m:dPr>
              <m:begChr m:val="("/>
              <m:endChr m:val=")"/>
              <m:sepChr m:val=""/>
              <m:grow/>
            </m:dPr>
            <m:e>
              <m:r>
                <m:t>0</m:t>
              </m:r>
              <m:r>
                <m:rPr>
                  <m:sty m:val="p"/>
                </m:rPr>
                <m:t>,</m:t>
              </m:r>
              <m:r>
                <m:t>1</m:t>
              </m:r>
            </m:e>
          </m:d>
        </m:oMath>
      </m:oMathPara>
    </w:p>
    <w:p>
      <w:pPr>
        <w:pStyle w:val="FirstParagraph"/>
      </w:pPr>
      <w:r>
        <w:t xml:space="preserve">GM B is a special case of GM G in which the random slope</w:t>
      </w:r>
      <w:r>
        <w:t xml:space="preserve"> </w:t>
      </w:r>
      <m:oMath>
        <m:sSub>
          <m:e>
            <m:r>
              <m:t>b</m:t>
            </m:r>
          </m:e>
          <m:sub>
            <m:r>
              <m:t>i</m:t>
            </m:r>
            <m:r>
              <m:t>2</m:t>
            </m:r>
          </m:sub>
        </m:sSub>
      </m:oMath>
      <w:r>
        <w:t xml:space="preserve"> </w:t>
      </w:r>
      <w:r>
        <w:t xml:space="preserve">was removed (see</w:t>
      </w:r>
      <w:r>
        <w:t xml:space="preserve"> </w:t>
      </w:r>
      <w:hyperlink w:anchor="fig-GMB_path">
        <w:r>
          <w:rPr>
            <w:rStyle w:val="Hyperlink"/>
          </w:rPr>
          <w:t xml:space="preserve">Figure 1 (c)</w:t>
        </w:r>
      </w:hyperlink>
      <w:r>
        <w:t xml:space="preserve">) by setting the random slope variance</w:t>
      </w:r>
      <w:r>
        <w:t xml:space="preserve"> </w:t>
      </w:r>
      <m:oMath>
        <m:sSubSup>
          <m:e>
            <m:r>
              <m:t>σ</m:t>
            </m:r>
          </m:e>
          <m:sub>
            <m:r>
              <m:t>b</m:t>
            </m:r>
            <m:r>
              <m:t>2</m:t>
            </m:r>
          </m:sub>
          <m:sup>
            <m:r>
              <m:t>2</m:t>
            </m:r>
          </m:sup>
        </m:sSubSup>
      </m:oMath>
      <w:r>
        <w:t xml:space="preserve"> </w:t>
      </w:r>
      <w:r>
        <w:t xml:space="preserve">to zero. While the within-person model is the same as GM G, there is a slight alteration in the between-person model:</w:t>
      </w:r>
    </w:p>
    <w:p>
      <w:pPr>
        <w:pStyle w:val="BodyText"/>
      </w:pPr>
      <m:oMathPara>
        <m:oMathParaPr>
          <m:jc m:val="center"/>
        </m:oMathParaPr>
        <m:oMath>
          <m:sSub>
            <m:e>
              <m:r>
                <m:t>π</m:t>
              </m:r>
            </m:e>
            <m:sub>
              <m:r>
                <m:t>2</m:t>
              </m:r>
              <m:r>
                <m:t>i</m:t>
              </m:r>
            </m:sub>
          </m:sSub>
          <m:r>
            <m:rPr>
              <m:sty m:val="p"/>
            </m:rPr>
            <m:t>=</m:t>
          </m:r>
          <m:sSub>
            <m:e>
              <m:r>
                <m:t>β</m:t>
              </m:r>
            </m:e>
            <m:sub>
              <m:r>
                <m:t>0</m:t>
              </m:r>
            </m:sub>
          </m:sSub>
          <m:r>
            <m:rPr>
              <m:sty m:val="p"/>
            </m:rPr>
            <m:t>.</m:t>
          </m:r>
        </m:oMath>
      </m:oMathPara>
    </w:p>
    <w:p>
      <w:pPr>
        <w:pStyle w:val="FirstParagraph"/>
      </w:pPr>
      <w:r>
        <w:t xml:space="preserve">The composite model then becomes:</w:t>
      </w:r>
    </w:p>
    <w:p>
      <w:pPr>
        <w:pStyle w:val="BodyText"/>
      </w:pPr>
      <w:bookmarkStart w:id="25" w:name="eq-modelB"/>
      <m:oMathPara>
        <m:oMathParaPr>
          <m:jc m:val="center"/>
        </m:oMathParaPr>
        <m:oMath>
          <m:sSub>
            <m:e>
              <m:r>
                <m:t>Y</m:t>
              </m:r>
            </m:e>
            <m:sub>
              <m:r>
                <m:t>i</m:t>
              </m:r>
              <m:r>
                <m:t>t</m:t>
              </m:r>
              <m:r>
                <m:rPr>
                  <m:sty m:val="p"/>
                </m:rPr>
                <m:t>+</m:t>
              </m:r>
              <m:r>
                <m:t>1</m:t>
              </m:r>
            </m:sub>
          </m:sSub>
          <m:r>
            <m:rPr>
              <m:sty m:val="p"/>
            </m:rPr>
            <m:t>=</m:t>
          </m:r>
          <m:d>
            <m:dPr>
              <m:begChr m:val="("/>
              <m:endChr m:val=")"/>
              <m:sepChr m:val=""/>
              <m:grow/>
            </m:dPr>
            <m:e>
              <m:sSub>
                <m:e>
                  <m:r>
                    <m:t>α</m:t>
                  </m:r>
                </m:e>
                <m:sub>
                  <m:r>
                    <m:t>0</m:t>
                  </m:r>
                </m:sub>
              </m:sSub>
              <m:r>
                <m:rPr>
                  <m:sty m:val="p"/>
                </m:rPr>
                <m:t>+</m:t>
              </m:r>
              <m:sSub>
                <m:e>
                  <m:r>
                    <m:t>b</m:t>
                  </m:r>
                </m:e>
                <m:sub>
                  <m:r>
                    <m:t>i</m:t>
                  </m:r>
                  <m:r>
                    <m:t>0</m:t>
                  </m:r>
                </m:sub>
              </m:sSub>
            </m:e>
          </m:d>
          <m:r>
            <m:rPr>
              <m:sty m:val="p"/>
            </m:rPr>
            <m:t>+</m:t>
          </m:r>
          <m:sSub>
            <m:e>
              <m:r>
                <m:t>α</m:t>
              </m:r>
            </m:e>
            <m:sub>
              <m:r>
                <m:t>1</m:t>
              </m:r>
            </m:sub>
          </m:sSub>
          <m:sSub>
            <m:e>
              <m:r>
                <m:t>X</m:t>
              </m:r>
            </m:e>
            <m:sub>
              <m:r>
                <m:t>i</m:t>
              </m:r>
              <m:r>
                <m:t>t</m:t>
              </m:r>
            </m:sub>
          </m:sSub>
          <m:r>
            <m:rPr>
              <m:sty m:val="p"/>
            </m:rPr>
            <m:t>+</m:t>
          </m:r>
          <m:sSub>
            <m:e>
              <m:r>
                <m:t>β</m:t>
              </m:r>
            </m:e>
            <m:sub>
              <m:r>
                <m:t>0</m:t>
              </m:r>
            </m:sub>
          </m:sSub>
          <m:sSub>
            <m:e>
              <m:r>
                <m:t>A</m:t>
              </m:r>
            </m:e>
            <m:sub>
              <m:r>
                <m:t>i</m:t>
              </m:r>
              <m:r>
                <m:t>t</m:t>
              </m:r>
            </m:sub>
          </m:sSub>
          <m:r>
            <m:rPr>
              <m:sty m:val="p"/>
            </m:rPr>
            <m:t>+</m:t>
          </m:r>
          <m:sSub>
            <m:e>
              <m:r>
                <m:t>β</m:t>
              </m:r>
            </m:e>
            <m:sub>
              <m:r>
                <m:t>1</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r>
            <m:t>  </m:t>
          </m:r>
          <m:d>
            <m:dPr>
              <m:begChr m:val="("/>
              <m:endChr m:val=")"/>
              <m:sepChr m:val=""/>
              <m:grow/>
            </m:dPr>
            <m:e>
              <m:r>
                <m:t>2</m:t>
              </m:r>
            </m:e>
          </m:d>
        </m:oMath>
      </m:oMathPara>
      <w:bookmarkEnd w:id="25"/>
    </w:p>
    <w:p>
      <w:pPr>
        <w:pStyle w:val="FirstParagraph"/>
      </w:pPr>
      <w:r>
        <w:t xml:space="preserve">GM C is a special case of GM G, where the fixed interaction parameter</w:t>
      </w:r>
      <w:r>
        <w:t xml:space="preserve"> </w:t>
      </w:r>
      <m:oMath>
        <m:sSub>
          <m:e>
            <m:r>
              <m:t>β</m:t>
            </m:r>
          </m:e>
          <m:sub>
            <m:r>
              <m:t>1</m:t>
            </m:r>
          </m:sub>
        </m:sSub>
      </m:oMath>
      <w:r>
        <w:t xml:space="preserve"> </w:t>
      </w:r>
      <w:r>
        <w:t xml:space="preserve">is set to zero, which implies the removal of the interaction term</w:t>
      </w:r>
      <w:r>
        <w:t xml:space="preserve"> </w:t>
      </w:r>
      <m:oMath>
        <m:sSub>
          <m:e>
            <m:r>
              <m:t>β</m:t>
            </m:r>
          </m:e>
          <m:sub>
            <m:r>
              <m:t>1</m:t>
            </m:r>
          </m:sub>
        </m:sSub>
        <m:sSub>
          <m:e>
            <m:r>
              <m:t>A</m:t>
            </m:r>
          </m:e>
          <m:sub>
            <m:r>
              <m:t>i</m:t>
            </m:r>
            <m:r>
              <m:t>t</m:t>
            </m:r>
          </m:sub>
        </m:sSub>
        <m:sSub>
          <m:e>
            <m:r>
              <m:t>X</m:t>
            </m:r>
          </m:e>
          <m:sub>
            <m:r>
              <m:t>i</m:t>
            </m:r>
            <m:r>
              <m:t>t</m:t>
            </m:r>
          </m:sub>
        </m:sSub>
      </m:oMath>
      <w:r>
        <w:t xml:space="preserve"> </w:t>
      </w:r>
      <w:r>
        <w:t xml:space="preserve">(see</w:t>
      </w:r>
      <w:r>
        <w:t xml:space="preserve"> </w:t>
      </w:r>
      <w:hyperlink w:anchor="fig-GMC_path">
        <w:r>
          <w:rPr>
            <w:rStyle w:val="Hyperlink"/>
          </w:rPr>
          <w:t xml:space="preserve">Figure 1 (d)</w:t>
        </w:r>
      </w:hyperlink>
      <w:r>
        <w:t xml:space="preserve">). This, in turn, removed</w:t>
      </w:r>
      <w:r>
        <w:t xml:space="preserve"> </w:t>
      </w:r>
      <m:oMath>
        <m:sSub>
          <m:e>
            <m:r>
              <m:t>π</m:t>
            </m:r>
          </m:e>
          <m:sub>
            <m:r>
              <m:t>3</m:t>
            </m:r>
            <m:r>
              <m:t>i</m:t>
            </m:r>
          </m:sub>
        </m:sSub>
      </m:oMath>
      <w:r>
        <w:t xml:space="preserve">, thereby creating a discrepancy in within-person model of GM C and GM G:</w:t>
      </w:r>
    </w:p>
    <w:p>
      <w:pPr>
        <w:pStyle w:val="BodyText"/>
      </w:pPr>
      <m:oMathPara>
        <m:oMathParaPr>
          <m:jc m:val="center"/>
        </m:oMathParaPr>
        <m:oMath>
          <m:sSub>
            <m:e>
              <m:r>
                <m:t>Y</m:t>
              </m:r>
            </m:e>
            <m:sub>
              <m:r>
                <m:t>i</m:t>
              </m:r>
              <m:r>
                <m:t>t</m:t>
              </m:r>
              <m:r>
                <m:rPr>
                  <m:sty m:val="p"/>
                </m:rPr>
                <m:t>+</m:t>
              </m:r>
              <m:r>
                <m:t>1</m:t>
              </m:r>
            </m:sub>
          </m:sSub>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ϵ</m:t>
              </m:r>
            </m:e>
            <m:sub>
              <m:r>
                <m:t>i</m:t>
              </m:r>
              <m:r>
                <m:t>t</m:t>
              </m:r>
              <m:r>
                <m:rPr>
                  <m:sty m:val="p"/>
                </m:rPr>
                <m:t>+</m:t>
              </m:r>
              <m:r>
                <m:t>1</m:t>
              </m:r>
            </m:sub>
          </m:sSub>
          <m:r>
            <m:rPr>
              <m:sty m:val="p"/>
            </m:rPr>
            <m:t>.</m:t>
          </m:r>
        </m:oMath>
      </m:oMathPara>
    </w:p>
    <w:p>
      <w:pPr>
        <w:pStyle w:val="FirstParagraph"/>
      </w:pPr>
      <w:r>
        <w:t xml:space="preserve">Nevertheless, the between-person model of</w:t>
      </w:r>
      <w:r>
        <w:t xml:space="preserve"> </w:t>
      </w:r>
      <m:oMath>
        <m:sSub>
          <m:e>
            <m:r>
              <m:t>π</m:t>
            </m:r>
          </m:e>
          <m:sub>
            <m:r>
              <m:t>0</m:t>
            </m:r>
            <m:r>
              <m:t>i</m:t>
            </m:r>
          </m:sub>
        </m:sSub>
      </m:oMath>
      <w:r>
        <w:t xml:space="preserve">,</w:t>
      </w:r>
      <w:r>
        <w:t xml:space="preserve"> </w:t>
      </w:r>
      <m:oMath>
        <m:sSub>
          <m:e>
            <m:r>
              <m:t>π</m:t>
            </m:r>
          </m:e>
          <m:sub>
            <m:r>
              <m:t>1</m:t>
            </m:r>
            <m:r>
              <m:t>i</m:t>
            </m:r>
          </m:sub>
        </m:sSub>
      </m:oMath>
      <w:r>
        <w:t xml:space="preserve"> </w:t>
      </w:r>
      <w:r>
        <w:t xml:space="preserve">and</w:t>
      </w:r>
      <w:r>
        <w:t xml:space="preserve"> </w:t>
      </w:r>
      <m:oMath>
        <m:sSub>
          <m:e>
            <m:r>
              <m:t>π</m:t>
            </m:r>
          </m:e>
          <m:sub>
            <m:r>
              <m:t>2</m:t>
            </m:r>
            <m:r>
              <m:t>i</m:t>
            </m:r>
          </m:sub>
        </m:sSub>
      </m:oMath>
      <w:r>
        <w:t xml:space="preserve"> </w:t>
      </w:r>
      <w:r>
        <w:t xml:space="preserve">remains the same as GM G. The composite model then becomes:</w:t>
      </w:r>
    </w:p>
    <w:p>
      <w:pPr>
        <w:pStyle w:val="BodyText"/>
      </w:pPr>
      <w:bookmarkStart w:id="26" w:name="eq-modelC"/>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b</m:t>
                  </m:r>
                </m:e>
                <m:sub>
                  <m:r>
                    <m:t>i</m:t>
                  </m:r>
                  <m:r>
                    <m:t>2</m:t>
                  </m:r>
                </m:sub>
              </m:sSub>
            </m:e>
          </m:d>
          <m:r>
            <m:rPr>
              <m:sty m:val="p"/>
            </m:rPr>
            <m:t>+</m:t>
          </m:r>
          <m:sSub>
            <m:e>
              <m:r>
                <m:t>ϵ</m:t>
              </m:r>
            </m:e>
            <m:sub>
              <m:r>
                <m:t>i</m:t>
              </m:r>
              <m:r>
                <m:t>t</m:t>
              </m:r>
              <m:r>
                <m:rPr>
                  <m:sty m:val="p"/>
                </m:rPr>
                <m:t>+</m:t>
              </m:r>
              <m:r>
                <m:t>1</m:t>
              </m:r>
            </m:sub>
          </m:sSub>
          <m:r>
            <m:rPr>
              <m:sty m:val="p"/>
            </m:rPr>
            <m:t>.</m:t>
          </m:r>
          <m:r>
            <m:t>  </m:t>
          </m:r>
          <m:d>
            <m:dPr>
              <m:begChr m:val="("/>
              <m:endChr m:val=")"/>
              <m:sepChr m:val=""/>
              <m:grow/>
            </m:dPr>
            <m:e>
              <m:r>
                <m:t>3</m:t>
              </m:r>
            </m:e>
          </m:d>
        </m:oMath>
      </m:oMathPara>
      <w:bookmarkEnd w:id="26"/>
    </w:p>
    <w:bookmarkEnd w:id="27"/>
    <w:bookmarkEnd w:id="28"/>
    <w:bookmarkStart w:id="30" w:name="data-analysis"/>
    <w:p>
      <w:pPr>
        <w:pStyle w:val="Heading2"/>
      </w:pPr>
      <w:r>
        <w:t xml:space="preserve">Data Analysis</w:t>
      </w:r>
    </w:p>
    <w:p>
      <w:pPr>
        <w:pStyle w:val="FirstParagraph"/>
      </w:pPr>
      <w:r>
        <w:t xml:space="preserve">All data generation and estimation was performed in</w:t>
      </w:r>
      <w:r>
        <w:t xml:space="preserve"> </w:t>
      </w:r>
      <w:r>
        <w:rPr>
          <w:rStyle w:val="VerbatimChar"/>
        </w:rPr>
        <w:t xml:space="preserve">R</w:t>
      </w:r>
      <w:r>
        <w:t xml:space="preserve">, version 4.4.2</w:t>
      </w:r>
      <w:r>
        <w:t xml:space="preserve"> </w:t>
      </w:r>
      <w:r>
        <w:t xml:space="preserve">(</w:t>
      </w:r>
      <w:hyperlink w:anchor="ref-rcoreteam2024">
        <w:r>
          <w:rPr>
            <w:rStyle w:val="Hyperlink"/>
          </w:rPr>
          <w:t xml:space="preserve">Team, 2024</w:t>
        </w:r>
      </w:hyperlink>
      <w:r>
        <w:t xml:space="preserve">)</w:t>
      </w:r>
      <w:r>
        <w:t xml:space="preserve">. Choices in the simulation-setup were guided by the need for consistency with the methodology of</w:t>
      </w:r>
      <w:r>
        <w:t xml:space="preserve"> </w:t>
      </w:r>
      <w:r>
        <w:t xml:space="preserve">Qian et al. (</w:t>
      </w:r>
      <w:hyperlink w:anchor="ref-qian2020">
        <w:r>
          <w:rPr>
            <w:rStyle w:val="Hyperlink"/>
          </w:rPr>
          <w:t xml:space="preserve">2020</w:t>
        </w:r>
      </w:hyperlink>
      <w:r>
        <w:t xml:space="preserve">)</w:t>
      </w:r>
      <w:r>
        <w:t xml:space="preserve">. After the generation of data for each setting, analytical MLMs were fit to the data</w:t>
      </w:r>
      <w:r>
        <w:rPr>
          <w:rStyle w:val="FootnoteReference"/>
        </w:rPr>
        <w:footnoteReference w:id="29"/>
      </w:r>
      <w:r>
        <w:t xml:space="preserve">. Specifically, the MLM from</w:t>
      </w:r>
      <w:r>
        <w:t xml:space="preserve"> </w:t>
      </w:r>
      <w:hyperlink w:anchor="eq-modelG">
        <w:r>
          <w:rPr>
            <w:rStyle w:val="Hyperlink"/>
          </w:rPr>
          <w:t xml:space="preserve">Equation 1</w:t>
        </w:r>
      </w:hyperlink>
      <w:r>
        <w:t xml:space="preserve"> </w:t>
      </w:r>
      <w:r>
        <w:t xml:space="preserve">was fit for GM G and A, the MLM from</w:t>
      </w:r>
      <w:r>
        <w:t xml:space="preserve"> </w:t>
      </w:r>
      <w:hyperlink w:anchor="eq-modelB">
        <w:r>
          <w:rPr>
            <w:rStyle w:val="Hyperlink"/>
          </w:rPr>
          <w:t xml:space="preserve">Equation 2</w:t>
        </w:r>
      </w:hyperlink>
      <w:r>
        <w:t xml:space="preserve"> </w:t>
      </w:r>
      <w:r>
        <w:t xml:space="preserve">for GM B, and the MLM from</w:t>
      </w:r>
      <w:r>
        <w:t xml:space="preserve"> </w:t>
      </w:r>
      <w:hyperlink w:anchor="eq-modelC">
        <w:r>
          <w:rPr>
            <w:rStyle w:val="Hyperlink"/>
          </w:rPr>
          <w:t xml:space="preserve">Equation 3</w:t>
        </w:r>
      </w:hyperlink>
      <w:r>
        <w:t xml:space="preserve"> </w:t>
      </w:r>
      <w:r>
        <w:t xml:space="preserve">for GM C. To fit the MLM, the</w:t>
      </w:r>
      <w:r>
        <w:t xml:space="preserve"> </w:t>
      </w:r>
      <w:r>
        <w:rPr>
          <w:rStyle w:val="VerbatimChar"/>
        </w:rPr>
        <w:t xml:space="preserve">lmer</w:t>
      </w:r>
      <w:r>
        <w:t xml:space="preserve"> </w:t>
      </w:r>
      <w:r>
        <w:t xml:space="preserve">function from the R-package</w:t>
      </w:r>
      <w:r>
        <w:t xml:space="preserve"> </w:t>
      </w:r>
      <w:r>
        <w:rPr>
          <w:rStyle w:val="VerbatimChar"/>
        </w:rPr>
        <w:t xml:space="preserve">lme4</w:t>
      </w:r>
      <w:r>
        <w:t xml:space="preserve"> </w:t>
      </w:r>
      <w:r>
        <w:t xml:space="preserve">(</w:t>
      </w:r>
      <w:hyperlink w:anchor="ref-bates2015">
        <w:r>
          <w:rPr>
            <w:rStyle w:val="Hyperlink"/>
          </w:rPr>
          <w:t xml:space="preserve">Bates et al., 2015</w:t>
        </w:r>
      </w:hyperlink>
      <w:r>
        <w:t xml:space="preserve">)</w:t>
      </w:r>
      <w:r>
        <w:t xml:space="preserve"> </w:t>
      </w:r>
      <w:r>
        <w:t xml:space="preserve">was employed with restricted maximum likelihood estimation.</w:t>
      </w:r>
    </w:p>
    <w:p>
      <w:pPr>
        <w:pStyle w:val="BodyText"/>
      </w:pPr>
      <w:r>
        <w:t xml:space="preserve">In the simulation study, we evaluated the bias of the analytical models across different settings by systematically varying the following 3 factors: Generative Model (GM) with the levels G, A, B, and C; number of timepoints (T) with the levels 10 and 30; and sample size (N) with the levels 30, 100, and 200. By varying these factors, we created a total of 24 unique settings, each of which was replicated 10,000 times.</w:t>
      </w:r>
    </w:p>
    <w:p>
      <w:pPr>
        <w:pStyle w:val="BodyText"/>
      </w:pPr>
      <w:r>
        <w:t xml:space="preserve">The bias was calculated as the difference between the estimated treatment effect and the true treatment effect, averaged across replications. The uncertainty in the bias estimates for each setting was quantified using the standard deviation and the Monte Carlo standard error</w:t>
      </w:r>
      <w:r>
        <w:t xml:space="preserve"> </w:t>
      </w:r>
      <w:r>
        <w:t xml:space="preserve">(see</w:t>
      </w:r>
      <w:r>
        <w:t xml:space="preserve"> </w:t>
      </w:r>
      <w:hyperlink w:anchor="ref-morris2019">
        <w:r>
          <w:rPr>
            <w:rStyle w:val="Hyperlink"/>
          </w:rPr>
          <w:t xml:space="preserve">Morris et al., 2019</w:t>
        </w:r>
      </w:hyperlink>
      <w:r>
        <w:t xml:space="preserve">)</w:t>
      </w:r>
      <w:r>
        <w:t xml:space="preserve">.</w:t>
      </w:r>
    </w:p>
    <w:bookmarkEnd w:id="30"/>
    <w:bookmarkEnd w:id="31"/>
    <w:bookmarkStart w:id="68" w:name="results"/>
    <w:p>
      <w:pPr>
        <w:pStyle w:val="Heading1"/>
      </w:pPr>
      <w:r>
        <w:t xml:space="preserve">Results</w:t>
      </w:r>
    </w:p>
    <w:p>
      <w:pPr>
        <w:pStyle w:val="FirstParagraph"/>
      </w:pPr>
      <w:r>
        <w:t xml:space="preserve">This section begins by constructing predictions about treatment effect bias for each GM, guided by the conditional independence assumption and the backdoor criterion. These predictions are then compared with the simulation study results, which present the bias across the different GMs.</w:t>
      </w:r>
    </w:p>
    <w:bookmarkStart w:id="49" w:name="X6b99b4990e0f3441938e4d5329af7abd7c25db0"/>
    <w:p>
      <w:pPr>
        <w:pStyle w:val="Heading2"/>
      </w:pPr>
      <w:r>
        <w:t xml:space="preserve">Conditional Independence and Path Diagrams</w:t>
      </w:r>
    </w:p>
    <w:p>
      <w:pPr>
        <w:pStyle w:val="FirstParagraph"/>
      </w:pPr>
      <w:r>
        <w:t xml:space="preserve">The first criterion for evaluating the presence of bias in treatment effect estimates is the</w:t>
      </w:r>
      <w:r>
        <w:t xml:space="preserve"> </w:t>
      </w:r>
      <w:r>
        <w:rPr>
          <w:i/>
          <w:iCs/>
        </w:rPr>
        <w:t xml:space="preserve">conditional independence assumption</w:t>
      </w:r>
      <w:r>
        <w:t xml:space="preserve">, introduced by</w:t>
      </w:r>
      <w:r>
        <w:t xml:space="preserve"> </w:t>
      </w:r>
      <w:r>
        <w:t xml:space="preserve">Qian et al. (</w:t>
      </w:r>
      <w:hyperlink w:anchor="ref-qian2020">
        <w:r>
          <w:rPr>
            <w:rStyle w:val="Hyperlink"/>
          </w:rPr>
          <w:t xml:space="preserve">2020</w:t>
        </w:r>
      </w:hyperlink>
      <w:r>
        <w:t xml:space="preserve">)</w:t>
      </w:r>
      <w:r>
        <w:t xml:space="preserve"> </w:t>
      </w:r>
      <w:r>
        <w:t xml:space="preserve">and based on the work of</w:t>
      </w:r>
      <w:r>
        <w:t xml:space="preserve"> </w:t>
      </w:r>
      <w:r>
        <w:t xml:space="preserve">Sitlani et al. (</w:t>
      </w:r>
      <w:hyperlink w:anchor="ref-sitlani2012">
        <w:r>
          <w:rPr>
            <w:rStyle w:val="Hyperlink"/>
          </w:rPr>
          <w:t xml:space="preserve">2012</w:t>
        </w:r>
      </w:hyperlink>
      <w:r>
        <w:t xml:space="preserve">)</w:t>
      </w:r>
      <w:r>
        <w:t xml:space="preserve">. According to</w:t>
      </w:r>
      <w:r>
        <w:t xml:space="preserve"> </w:t>
      </w:r>
      <w:r>
        <w:t xml:space="preserve">Qian et al. (</w:t>
      </w:r>
      <w:hyperlink w:anchor="ref-qian2020">
        <w:r>
          <w:rPr>
            <w:rStyle w:val="Hyperlink"/>
          </w:rPr>
          <w:t xml:space="preserve">2020</w:t>
        </w:r>
      </w:hyperlink>
      <w:r>
        <w:t xml:space="preserve">)</w:t>
      </w:r>
      <w:r>
        <w:t xml:space="preserve">, this assumption should identify whether estimators of the treatment effect are consistent and unbiased under randomized treatment assignment. The conditional independence assumption states that the covariate at time</w:t>
      </w:r>
      <w:r>
        <w:t xml:space="preserve"> </w:t>
      </w:r>
      <m:oMath>
        <m:r>
          <m:t>t</m:t>
        </m:r>
      </m:oMath>
      <w:r>
        <w:t xml:space="preserve"> </w:t>
      </w:r>
      <w:r>
        <w:t xml:space="preserve">(</w:t>
      </w:r>
      <m:oMath>
        <m:sSub>
          <m:e>
            <m:r>
              <m:t>X</m:t>
            </m:r>
          </m:e>
          <m:sub>
            <m:r>
              <m:t>i</m:t>
            </m:r>
            <m:r>
              <m:t>t</m:t>
            </m:r>
          </m:sub>
        </m:sSub>
      </m:oMath>
      <w:r>
        <w:t xml:space="preserve">) should be independent of the individual’s random effects (intercept</w:t>
      </w:r>
      <w:r>
        <w:t xml:space="preserve"> </w:t>
      </w:r>
      <m:oMath>
        <m:sSub>
          <m:e>
            <m:r>
              <m:t>b</m:t>
            </m:r>
          </m:e>
          <m:sub>
            <m:r>
              <m:t>i</m:t>
            </m:r>
            <m:r>
              <m:t>0</m:t>
            </m:r>
          </m:sub>
        </m:sSub>
      </m:oMath>
      <w:r>
        <w:t xml:space="preserve"> </w:t>
      </w:r>
      <w:r>
        <w:t xml:space="preserve">and slope(s)</w:t>
      </w:r>
      <w:r>
        <w:t xml:space="preserve"> </w:t>
      </w:r>
      <m:oMath>
        <m:sSub>
          <m:e>
            <m:r>
              <m:t>b</m:t>
            </m:r>
          </m:e>
          <m:sub>
            <m:r>
              <m:t>i</m:t>
            </m:r>
            <m:r>
              <m:t>1</m:t>
            </m:r>
          </m:sub>
        </m:sSub>
      </m:oMath>
      <w:r>
        <w:t xml:space="preserve">) once we account for their history of covariates up to timepoint</w:t>
      </w:r>
      <w:r>
        <w:t xml:space="preserve"> </w:t>
      </w:r>
      <m:oMath>
        <m:r>
          <m:t>t</m:t>
        </m:r>
        <m:r>
          <m:rPr>
            <m:sty m:val="p"/>
          </m:rPr>
          <m:t>−</m:t>
        </m:r>
        <m:r>
          <m:t>1</m:t>
        </m:r>
      </m:oMath>
      <w:r>
        <w:t xml:space="preserve"> </w:t>
      </w:r>
      <w:r>
        <w:t xml:space="preserve">(</w:t>
      </w:r>
      <m:oMath>
        <m:sSub>
          <m:e>
            <m:r>
              <m:t>H</m:t>
            </m:r>
          </m:e>
          <m:sub>
            <m:r>
              <m:t>i</m:t>
            </m:r>
            <m:r>
              <m:t>t</m:t>
            </m:r>
            <m:r>
              <m:rPr>
                <m:sty m:val="p"/>
              </m:rPr>
              <m:t>−</m:t>
            </m:r>
            <m:r>
              <m:t>1</m:t>
            </m:r>
          </m:sub>
        </m:sSub>
      </m:oMath>
      <w:r>
        <w:t xml:space="preserve">), previous treatment (</w:t>
      </w:r>
      <m:oMath>
        <m:sSub>
          <m:e>
            <m:r>
              <m:t>A</m:t>
            </m:r>
          </m:e>
          <m:sub>
            <m:r>
              <m:t>i</m:t>
            </m:r>
            <m:r>
              <m:t>t</m:t>
            </m:r>
            <m:r>
              <m:rPr>
                <m:sty m:val="p"/>
              </m:rPr>
              <m:t>−</m:t>
            </m:r>
            <m:r>
              <m:t>1</m:t>
            </m:r>
          </m:sub>
        </m:sSub>
      </m:oMath>
      <w:r>
        <w:t xml:space="preserve">), and prior outcome (</w:t>
      </w:r>
      <m:oMath>
        <m:sSub>
          <m:e>
            <m:r>
              <m:t>Y</m:t>
            </m:r>
          </m:e>
          <m:sub>
            <m:r>
              <m:t>i</m:t>
            </m:r>
            <m:r>
              <m:t>t</m:t>
            </m:r>
          </m:sub>
        </m:sSub>
      </m:oMath>
      <w:r>
        <w:t xml:space="preserve">).</w:t>
      </w:r>
    </w:p>
    <w:p>
      <w:pPr>
        <w:pStyle w:val="BodyText"/>
      </w:pPr>
      <m:oMathPara>
        <m:oMathParaPr>
          <m:jc m:val="center"/>
        </m:oMathParaPr>
        <m:oMath>
          <m:sSub>
            <m:e>
              <m:r>
                <m:t>X</m:t>
              </m:r>
            </m:e>
            <m:sub>
              <m:r>
                <m:t>i</m:t>
              </m:r>
              <m:r>
                <m:t>t</m:t>
              </m:r>
            </m:sub>
          </m:sSub>
          <m:r>
            <m:rPr>
              <m:sty m:val="p"/>
            </m:rPr>
            <m:t>⊥</m:t>
          </m:r>
          <m:d>
            <m:dPr>
              <m:begChr m:val="("/>
              <m:endChr m:val=")"/>
              <m:sepChr m:val=""/>
              <m:grow/>
            </m:dPr>
            <m:e>
              <m:sSub>
                <m:e>
                  <m:r>
                    <m:t>b</m:t>
                  </m:r>
                </m:e>
                <m:sub>
                  <m:r>
                    <m:t>i</m:t>
                  </m:r>
                  <m:r>
                    <m:t>0</m:t>
                  </m:r>
                </m:sub>
              </m:sSub>
              <m:r>
                <m:rPr>
                  <m:sty m:val="p"/>
                </m:rPr>
                <m:t>,</m:t>
              </m:r>
              <m:sSub>
                <m:e>
                  <m:r>
                    <m:t>b</m:t>
                  </m:r>
                </m:e>
                <m:sub>
                  <m:r>
                    <m:t>i</m:t>
                  </m:r>
                  <m:r>
                    <m:t>1</m:t>
                  </m:r>
                </m:sub>
              </m:sSub>
            </m:e>
          </m:d>
          <m:r>
            <m:rPr>
              <m:sty m:val="p"/>
            </m:rPr>
            <m:t>∣</m:t>
          </m:r>
          <m:sSub>
            <m:e>
              <m:r>
                <m:t>H</m:t>
              </m:r>
            </m:e>
            <m:sub>
              <m:r>
                <m:t>i</m:t>
              </m:r>
              <m:r>
                <m:t>t</m:t>
              </m:r>
              <m:r>
                <m:rPr>
                  <m:sty m:val="p"/>
                </m:rPr>
                <m:t>−</m:t>
              </m:r>
              <m:r>
                <m:t>1</m:t>
              </m:r>
            </m:sub>
          </m:sSub>
          <m:r>
            <m:rPr>
              <m:sty m:val="p"/>
            </m:rPr>
            <m:t>,</m:t>
          </m:r>
          <m:sSub>
            <m:e>
              <m:r>
                <m:t>A</m:t>
              </m:r>
            </m:e>
            <m:sub>
              <m:r>
                <m:t>i</m:t>
              </m:r>
              <m:r>
                <m:t>t</m:t>
              </m:r>
              <m:r>
                <m:rPr>
                  <m:sty m:val="p"/>
                </m:rPr>
                <m:t>−</m:t>
              </m:r>
              <m:r>
                <m:t>1</m:t>
              </m:r>
            </m:sub>
          </m:sSub>
          <m:r>
            <m:rPr>
              <m:sty m:val="p"/>
            </m:rPr>
            <m:t>,</m:t>
          </m:r>
          <m:sSub>
            <m:e>
              <m:r>
                <m:t>Y</m:t>
              </m:r>
            </m:e>
            <m:sub>
              <m:r>
                <m:t>i</m:t>
              </m:r>
              <m:r>
                <m:t>t</m:t>
              </m:r>
            </m:sub>
          </m:sSub>
          <m:r>
            <m:rPr>
              <m:sty m:val="p"/>
            </m:rPr>
            <m:t>.</m:t>
          </m:r>
        </m:oMath>
      </m:oMathPara>
    </w:p>
    <w:p>
      <w:pPr>
        <w:pStyle w:val="FirstParagraph"/>
      </w:pPr>
      <w:r>
        <w:t xml:space="preserve">This assumption allows for</w:t>
      </w:r>
      <w:r>
        <w:t xml:space="preserve"> </w:t>
      </w:r>
      <m:oMath>
        <m:sSub>
          <m:e>
            <m:r>
              <m:t>X</m:t>
            </m:r>
          </m:e>
          <m:sub>
            <m:r>
              <m:t>i</m:t>
            </m:r>
            <m:r>
              <m:t>t</m:t>
            </m:r>
          </m:sub>
        </m:sSub>
      </m:oMath>
      <w:r>
        <w:t xml:space="preserve"> </w:t>
      </w:r>
      <w:r>
        <w:t xml:space="preserve">to be influenced by earlier variables (e.g., outcomes or treatments) but not directly by unobserved individual characteristics (i.e., random effects). However, as</w:t>
      </w:r>
      <w:r>
        <w:t xml:space="preserve"> </w:t>
      </w:r>
      <w:r>
        <w:t xml:space="preserve">Qian et al. (</w:t>
      </w:r>
      <w:hyperlink w:anchor="ref-qian2020">
        <w:r>
          <w:rPr>
            <w:rStyle w:val="Hyperlink"/>
          </w:rPr>
          <w:t xml:space="preserve">2020</w:t>
        </w:r>
      </w:hyperlink>
      <w:r>
        <w:t xml:space="preserve">)</w:t>
      </w:r>
      <w:r>
        <w:t xml:space="preserve"> </w:t>
      </w:r>
      <w:r>
        <w:t xml:space="preserve">highlights, ensuring this assumption holds requires careful consideration of theory and domain knowledge. To clarify the application of the conditional independence assumption, we pair the equations of the generative models (GMs) with path diagrams</w:t>
      </w:r>
      <w:r>
        <w:t xml:space="preserve"> </w:t>
      </w:r>
      <w:r>
        <w:t xml:space="preserve">(</w:t>
      </w:r>
      <w:hyperlink w:anchor="ref-duncan1966">
        <w:r>
          <w:rPr>
            <w:rStyle w:val="Hyperlink"/>
          </w:rPr>
          <w:t xml:space="preserve">Duncan, 1966</w:t>
        </w:r>
      </w:hyperlink>
      <w:r>
        <w:t xml:space="preserve">;</w:t>
      </w:r>
      <w:r>
        <w:t xml:space="preserve"> </w:t>
      </w:r>
      <w:hyperlink w:anchor="ref-wright1934a">
        <w:r>
          <w:rPr>
            <w:rStyle w:val="Hyperlink"/>
          </w:rPr>
          <w:t xml:space="preserve">Wright, 1934</w:t>
        </w:r>
      </w:hyperlink>
      <w:r>
        <w:t xml:space="preserve">)</w:t>
      </w:r>
      <w:r>
        <w:t xml:space="preserve"> </w:t>
      </w:r>
      <w:r>
        <w:t xml:space="preserve">illustrating the first three timepoints (</w:t>
      </w:r>
      <m:oMath>
        <m:r>
          <m:t>t</m:t>
        </m:r>
      </m:oMath>
      <w:r>
        <w:t xml:space="preserve">) for each model (see</w:t>
      </w:r>
      <w:r>
        <w:t xml:space="preserve"> </w:t>
      </w:r>
      <w:hyperlink w:anchor="fig-Pathdiagrams">
        <w:r>
          <w:rPr>
            <w:rStyle w:val="Hyperlink"/>
          </w:rPr>
          <w:t xml:space="preserve">Figure 1</w:t>
        </w:r>
      </w:hyperlink>
      <w:r>
        <w:t xml:space="preserve">). We can observe that all models contain a time-varying</w:t>
      </w:r>
      <w:r>
        <w:t xml:space="preserve"> </w:t>
      </w:r>
      <w:r>
        <w:rPr>
          <w:i/>
          <w:iCs/>
        </w:rPr>
        <w:t xml:space="preserve">endogenous</w:t>
      </w:r>
      <w:r>
        <w:t xml:space="preserve"> </w:t>
      </w:r>
      <w:r>
        <w:t xml:space="preserve">covariate</w:t>
      </w:r>
      <w:r>
        <w:t xml:space="preserve"> </w:t>
      </w:r>
      <m:oMath>
        <m:sSub>
          <m:e>
            <m:r>
              <m:t>X</m:t>
            </m:r>
          </m:e>
          <m:sub>
            <m:r>
              <m:t>i</m:t>
            </m:r>
            <m:r>
              <m:t>t</m:t>
            </m:r>
          </m:sub>
        </m:sSub>
      </m:oMath>
      <w:r>
        <w:t xml:space="preserve">, which is determined by previous outcome</w:t>
      </w:r>
      <w:r>
        <w:t xml:space="preserve"> </w:t>
      </w:r>
      <m:oMath>
        <m:sSub>
          <m:e>
            <m:r>
              <m:t>Y</m:t>
            </m:r>
          </m:e>
          <m:sub>
            <m:r>
              <m:t>i</m:t>
            </m:r>
            <m:r>
              <m:t>t</m:t>
            </m:r>
          </m:sub>
        </m:sSub>
      </m:oMath>
      <w:r>
        <w:t xml:space="preserve">.</w:t>
      </w:r>
    </w:p>
    <w:bookmarkStart w:id="48" w:name="fig-Pathdiagram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5" w:name="fig-GMG_path"/>
                <w:p>
                  <w:pPr>
                    <w:jc w:val="center"/>
                    <w:jc w:val="left"/>
                  </w:pPr>
                  <w:pPr>
                    <w:jc w:val="start"/>
                    <w:spacing w:before="200"/>
                    <w:pStyle w:val="ImageCaption"/>
                  </w:pPr>
                  <w:r>
                    <w:t xml:space="preserve">(a) GM G</w:t>
                  </w:r>
                </w:p>
                <w:p>
                  <w:pPr>
                    <w:pStyle w:val="Compact"/>
                    <w:jc w:val="center"/>
                    <w:jc w:val="left"/>
                  </w:pPr>
                  <w:r>
                    <w:drawing>
                      <wp:inline>
                        <wp:extent cx="3535272" cy="3737113"/>
                        <wp:effectExtent b="0" l="0" r="0" t="0"/>
                        <wp:docPr descr="" title="" id="33" name="Picture"/>
                        <a:graphic>
                          <a:graphicData uri="http://schemas.openxmlformats.org/drawingml/2006/picture">
                            <pic:pic>
                              <pic:nvPicPr>
                                <pic:cNvPr descr="research-report_files/figure-docx/fig-GMG_path-1.png" id="34" name="Picture"/>
                                <pic:cNvPicPr>
                                  <a:picLocks noChangeArrowheads="1" noChangeAspect="1"/>
                                </pic:cNvPicPr>
                              </pic:nvPicPr>
                              <pic:blipFill>
                                <a:blip r:embed="rId32"/>
                                <a:stretch>
                                  <a:fillRect/>
                                </a:stretch>
                              </pic:blipFill>
                              <pic:spPr bwMode="auto">
                                <a:xfrm>
                                  <a:off x="0" y="0"/>
                                  <a:ext cx="3535272" cy="3737113"/>
                                </a:xfrm>
                                <a:prstGeom prst="rect">
                                  <a:avLst/>
                                </a:prstGeom>
                                <a:noFill/>
                                <a:ln w="9525">
                                  <a:noFill/>
                                  <a:headEnd/>
                                  <a:tailEnd/>
                                </a:ln>
                              </pic:spPr>
                            </pic:pic>
                          </a:graphicData>
                        </a:graphic>
                      </wp:inline>
                    </w:drawing>
                  </w:r>
                </w:p>
                <w:bookmarkEnd w:id="35"/>
              </w:tc>
            </w:tr>
          </w:tbl>
          <w:p/>
        </w:tc>
        <w:tc>
          <w:tcPr/>
          <w:tbl>
            <w:tblPr>
              <w:tblStyle w:val="Table"/>
              <w:tblW w:type="pct" w:w="4900"/>
              <w:tblLayout w:type="fixed"/>
              <w:tblLook w:firstRow="0" w:lastRow="0" w:firstColumn="0" w:lastColumn="0" w:noHBand="0" w:noVBand="0" w:val="0000"/>
            </w:tblPr>
            <w:tblGrid>
              <w:gridCol w:w="7761"/>
            </w:tblGrid>
            <w:tr>
              <w:tc>
                <w:tcPr/>
                <w:bookmarkStart w:id="39" w:name="fig-GMA_path"/>
                <w:p>
                  <w:pPr>
                    <w:jc w:val="center"/>
                    <w:jc w:val="left"/>
                  </w:pPr>
                  <w:pPr>
                    <w:jc w:val="start"/>
                    <w:spacing w:before="200"/>
                    <w:pStyle w:val="ImageCaption"/>
                  </w:pPr>
                  <w:r>
                    <w:t xml:space="preserve">(b) GM A</w:t>
                  </w:r>
                </w:p>
                <w:p>
                  <w:pPr>
                    <w:pStyle w:val="Compact"/>
                    <w:jc w:val="center"/>
                    <w:jc w:val="left"/>
                  </w:pPr>
                  <w:r>
                    <w:drawing>
                      <wp:inline>
                        <wp:extent cx="3535272" cy="3737113"/>
                        <wp:effectExtent b="0" l="0" r="0" t="0"/>
                        <wp:docPr descr="" title="" id="37" name="Picture"/>
                        <a:graphic>
                          <a:graphicData uri="http://schemas.openxmlformats.org/drawingml/2006/picture">
                            <pic:pic>
                              <pic:nvPicPr>
                                <pic:cNvPr descr="research-report_files/figure-docx/fig-GMA_path-1.png" id="38" name="Picture"/>
                                <pic:cNvPicPr>
                                  <a:picLocks noChangeArrowheads="1" noChangeAspect="1"/>
                                </pic:cNvPicPr>
                              </pic:nvPicPr>
                              <pic:blipFill>
                                <a:blip r:embed="rId36"/>
                                <a:stretch>
                                  <a:fillRect/>
                                </a:stretch>
                              </pic:blipFill>
                              <pic:spPr bwMode="auto">
                                <a:xfrm>
                                  <a:off x="0" y="0"/>
                                  <a:ext cx="3535272" cy="3737113"/>
                                </a:xfrm>
                                <a:prstGeom prst="rect">
                                  <a:avLst/>
                                </a:prstGeom>
                                <a:noFill/>
                                <a:ln w="9525">
                                  <a:noFill/>
                                  <a:headEnd/>
                                  <a:tailEnd/>
                                </a:ln>
                              </pic:spPr>
                            </pic:pic>
                          </a:graphicData>
                        </a:graphic>
                      </wp:inline>
                    </w:drawing>
                  </w:r>
                </w:p>
                <w:bookmarkEnd w:id="3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3" w:name="fig-GMB_path"/>
                <w:p>
                  <w:pPr>
                    <w:jc w:val="center"/>
                    <w:jc w:val="left"/>
                  </w:pPr>
                  <w:pPr>
                    <w:jc w:val="start"/>
                    <w:spacing w:before="200"/>
                    <w:pStyle w:val="ImageCaption"/>
                  </w:pPr>
                  <w:r>
                    <w:t xml:space="preserve">(c) GM B</w:t>
                  </w:r>
                </w:p>
                <w:p>
                  <w:pPr>
                    <w:pStyle w:val="Compact"/>
                    <w:jc w:val="center"/>
                    <w:jc w:val="left"/>
                  </w:pPr>
                  <w:r>
                    <w:drawing>
                      <wp:inline>
                        <wp:extent cx="3535272" cy="2688152"/>
                        <wp:effectExtent b="0" l="0" r="0" t="0"/>
                        <wp:docPr descr="" title="" id="41" name="Picture"/>
                        <a:graphic>
                          <a:graphicData uri="http://schemas.openxmlformats.org/drawingml/2006/picture">
                            <pic:pic>
                              <pic:nvPicPr>
                                <pic:cNvPr descr="research-report_files/figure-docx/fig-GMB_path-1.png" id="42" name="Picture"/>
                                <pic:cNvPicPr>
                                  <a:picLocks noChangeArrowheads="1" noChangeAspect="1"/>
                                </pic:cNvPicPr>
                              </pic:nvPicPr>
                              <pic:blipFill>
                                <a:blip r:embed="rId40"/>
                                <a:stretch>
                                  <a:fillRect/>
                                </a:stretch>
                              </pic:blipFill>
                              <pic:spPr bwMode="auto">
                                <a:xfrm>
                                  <a:off x="0" y="0"/>
                                  <a:ext cx="3535272" cy="2688152"/>
                                </a:xfrm>
                                <a:prstGeom prst="rect">
                                  <a:avLst/>
                                </a:prstGeom>
                                <a:noFill/>
                                <a:ln w="9525">
                                  <a:noFill/>
                                  <a:headEnd/>
                                  <a:tailEnd/>
                                </a:ln>
                              </pic:spPr>
                            </pic:pic>
                          </a:graphicData>
                        </a:graphic>
                      </wp:inline>
                    </w:drawing>
                  </w:r>
                </w:p>
                <w:bookmarkEnd w:id="43"/>
              </w:tc>
            </w:tr>
          </w:tbl>
          <w:p/>
        </w:tc>
        <w:tc>
          <w:tcPr/>
          <w:tbl>
            <w:tblPr>
              <w:tblStyle w:val="Table"/>
              <w:tblW w:type="pct" w:w="4900"/>
              <w:tblLayout w:type="fixed"/>
              <w:tblLook w:firstRow="0" w:lastRow="0" w:firstColumn="0" w:lastColumn="0" w:noHBand="0" w:noVBand="0" w:val="0000"/>
            </w:tblPr>
            <w:tblGrid>
              <w:gridCol w:w="7761"/>
            </w:tblGrid>
            <w:tr>
              <w:tc>
                <w:tcPr/>
                <w:bookmarkStart w:id="47" w:name="fig-GMC_path"/>
                <w:p>
                  <w:pPr>
                    <w:jc w:val="center"/>
                    <w:jc w:val="left"/>
                  </w:pPr>
                  <w:pPr>
                    <w:jc w:val="start"/>
                    <w:spacing w:before="200"/>
                    <w:pStyle w:val="ImageCaption"/>
                  </w:pPr>
                  <w:r>
                    <w:t xml:space="preserve">(d) GM C</w:t>
                  </w:r>
                </w:p>
                <w:p>
                  <w:pPr>
                    <w:pStyle w:val="Compact"/>
                    <w:jc w:val="center"/>
                    <w:jc w:val="left"/>
                  </w:pPr>
                  <w:r>
                    <w:drawing>
                      <wp:inline>
                        <wp:extent cx="3504690" cy="3737113"/>
                        <wp:effectExtent b="0" l="0" r="0" t="0"/>
                        <wp:docPr descr="" title="" id="45" name="Picture"/>
                        <a:graphic>
                          <a:graphicData uri="http://schemas.openxmlformats.org/drawingml/2006/picture">
                            <pic:pic>
                              <pic:nvPicPr>
                                <pic:cNvPr descr="research-report_files/figure-docx/fig-GMC_path-1.png" id="46" name="Picture"/>
                                <pic:cNvPicPr>
                                  <a:picLocks noChangeArrowheads="1" noChangeAspect="1"/>
                                </pic:cNvPicPr>
                              </pic:nvPicPr>
                              <pic:blipFill>
                                <a:blip r:embed="rId44"/>
                                <a:stretch>
                                  <a:fillRect/>
                                </a:stretch>
                              </pic:blipFill>
                              <pic:spPr bwMode="auto">
                                <a:xfrm>
                                  <a:off x="0" y="0"/>
                                  <a:ext cx="3504690" cy="3737113"/>
                                </a:xfrm>
                                <a:prstGeom prst="rect">
                                  <a:avLst/>
                                </a:prstGeom>
                                <a:noFill/>
                                <a:ln w="9525">
                                  <a:noFill/>
                                  <a:headEnd/>
                                  <a:tailEnd/>
                                </a:ln>
                              </pic:spPr>
                            </pic:pic>
                          </a:graphicData>
                        </a:graphic>
                      </wp:inline>
                    </w:drawing>
                  </w:r>
                </w:p>
                <w:bookmarkEnd w:id="47"/>
              </w:tc>
            </w:tr>
          </w:tbl>
          <w:p/>
        </w:tc>
      </w:tr>
    </w:tbl>
    <w:p>
      <w:pPr>
        <w:pStyle w:val="BodyText"/>
      </w:pPr>
      <w:pPr>
        <w:spacing w:before="200"/>
        <w:pStyle w:val="ImageCaption"/>
      </w:pPr>
      <w:r>
        <w:t xml:space="preserve">Figure 1: Path Diagrams for Generative Models G, A, B and C (t = 1, 2, 3)</w:t>
      </w:r>
    </w:p>
    <w:bookmarkEnd w:id="48"/>
    <w:p>
      <w:pPr>
        <w:pStyle w:val="BodyText"/>
      </w:pPr>
      <w:r>
        <w:rPr>
          <w:i/>
          <w:iCs/>
        </w:rPr>
        <w:t xml:space="preserve">Note.</w:t>
      </w:r>
      <w:r>
        <w:t xml:space="preserve"> </w:t>
      </w:r>
      <w:r>
        <w:t xml:space="preserve">Random effects are represented by grey circles, observed variables by squares and relationships across variables by arrows, where dashed lines are reserved for random slopes.</w:t>
      </w:r>
    </w:p>
    <w:p>
      <w:pPr>
        <w:pStyle w:val="BodyText"/>
      </w:pPr>
      <w:r>
        <w:t xml:space="preserve">In GM G, the covariate</w:t>
      </w:r>
      <w:r>
        <w:t xml:space="preserve"> </w:t>
      </w:r>
      <m:oMath>
        <m:sSub>
          <m:e>
            <m:r>
              <m:t>X</m:t>
            </m:r>
          </m:e>
          <m:sub>
            <m:r>
              <m:t>i</m:t>
            </m:r>
            <m:r>
              <m:t>t</m:t>
            </m:r>
          </m:sub>
        </m:sSub>
      </m:oMath>
      <w:r>
        <w:t xml:space="preserve"> </w:t>
      </w:r>
      <w:r>
        <w:t xml:space="preserve">is directly influenced by unobserved individual factors (represented by the random effects,</w:t>
      </w:r>
      <w:r>
        <w:t xml:space="preserve"> </w:t>
      </w:r>
      <m:oMath>
        <m:sSub>
          <m:e>
            <m:r>
              <m:t>b</m:t>
            </m:r>
          </m:e>
          <m:sub>
            <m:r>
              <m:t>i</m:t>
            </m:r>
            <m:r>
              <m:t>0</m:t>
            </m:r>
          </m:sub>
        </m:sSub>
      </m:oMath>
      <w:r>
        <w:t xml:space="preserve">). Consequently, conditioning on prior variables, such as the outcome at the previous timepoint</w:t>
      </w:r>
      <w:r>
        <w:t xml:space="preserve"> </w:t>
      </w:r>
      <m:oMath>
        <m:sSub>
          <m:e>
            <m:r>
              <m:t>Y</m:t>
            </m:r>
          </m:e>
          <m:sub>
            <m:r>
              <m:t>i</m:t>
            </m:r>
            <m:r>
              <m:t>t</m:t>
            </m:r>
          </m:sub>
        </m:sSub>
      </m:oMath>
      <w:r>
        <w:t xml:space="preserve">, does not fully block or eliminate the influence of these unobserved factors. As a result,</w:t>
      </w:r>
      <w:r>
        <w:t xml:space="preserve"> </w:t>
      </w:r>
      <m:oMath>
        <m:sSub>
          <m:e>
            <m:r>
              <m:t>X</m:t>
            </m:r>
          </m:e>
          <m:sub>
            <m:r>
              <m:t>i</m:t>
            </m:r>
            <m:r>
              <m:t>t</m:t>
            </m:r>
          </m:sub>
        </m:sSub>
      </m:oMath>
      <w:r>
        <w:t xml:space="preserve"> </w:t>
      </w:r>
      <w:r>
        <w:t xml:space="preserve">remains dependent on the random effects, violating the assumption. This violation of the conditional independence assumption aligns with the biased estimates of the treatment effect observed in GM G, as identified by</w:t>
      </w:r>
      <w:r>
        <w:t xml:space="preserve"> </w:t>
      </w:r>
      <w:r>
        <w:t xml:space="preserve">Qian et al. (</w:t>
      </w:r>
      <w:hyperlink w:anchor="ref-qian2020">
        <w:r>
          <w:rPr>
            <w:rStyle w:val="Hyperlink"/>
          </w:rPr>
          <w:t xml:space="preserve">2020</w:t>
        </w:r>
      </w:hyperlink>
      <w:r>
        <w:t xml:space="preserve">)</w:t>
      </w:r>
      <w:r>
        <w:t xml:space="preserve">.</w:t>
      </w:r>
    </w:p>
    <w:p>
      <w:pPr>
        <w:pStyle w:val="BodyText"/>
      </w:pPr>
      <w:r>
        <w:t xml:space="preserve">In contrast, GM A, a special case of GM G where no bias was found by</w:t>
      </w:r>
      <w:r>
        <w:t xml:space="preserve"> </w:t>
      </w:r>
      <w:r>
        <w:t xml:space="preserve">Qian et al. (</w:t>
      </w:r>
      <w:hyperlink w:anchor="ref-qian2020">
        <w:r>
          <w:rPr>
            <w:rStyle w:val="Hyperlink"/>
          </w:rPr>
          <w:t xml:space="preserve">2020</w:t>
        </w:r>
      </w:hyperlink>
      <w:r>
        <w:t xml:space="preserve">)</w:t>
      </w:r>
      <w:r>
        <w:t xml:space="preserve">, removes the direct link between</w:t>
      </w:r>
      <w:r>
        <w:t xml:space="preserve"> </w:t>
      </w:r>
      <m:oMath>
        <m:sSub>
          <m:e>
            <m:r>
              <m:t>X</m:t>
            </m:r>
          </m:e>
          <m:sub>
            <m:r>
              <m:t>i</m:t>
            </m:r>
            <m:r>
              <m:t>t</m:t>
            </m:r>
          </m:sub>
        </m:sSub>
      </m:oMath>
      <w:r>
        <w:t xml:space="preserve"> </w:t>
      </w:r>
      <w:r>
        <w:t xml:space="preserve">and the random effects</w:t>
      </w:r>
      <w:r>
        <w:t xml:space="preserve"> </w:t>
      </w:r>
      <m:oMath>
        <m:sSub>
          <m:e>
            <m:r>
              <m:t>b</m:t>
            </m:r>
          </m:e>
          <m:sub>
            <m:r>
              <m:t>i</m:t>
            </m:r>
            <m:r>
              <m:t>0</m:t>
            </m:r>
          </m:sub>
        </m:sSub>
      </m:oMath>
      <w:r>
        <w:t xml:space="preserve">. In this case,</w:t>
      </w:r>
      <w:r>
        <w:t xml:space="preserve"> </w:t>
      </w:r>
      <m:oMath>
        <m:sSub>
          <m:e>
            <m:r>
              <m:t>X</m:t>
            </m:r>
          </m:e>
          <m:sub>
            <m:r>
              <m:t>i</m:t>
            </m:r>
            <m:r>
              <m:t>t</m:t>
            </m:r>
          </m:sub>
        </m:sSub>
      </m:oMath>
      <w:r>
        <w:t xml:space="preserve"> </w:t>
      </w:r>
      <w:r>
        <w:t xml:space="preserve">is simply the previous outcome</w:t>
      </w:r>
      <w:r>
        <w:t xml:space="preserve"> </w:t>
      </w:r>
      <m:oMath>
        <m:sSub>
          <m:e>
            <m:r>
              <m:t>Y</m:t>
            </m:r>
          </m:e>
          <m:sub>
            <m:r>
              <m:t>i</m:t>
            </m:r>
            <m:r>
              <m:t>t</m:t>
            </m:r>
          </m:sub>
        </m:sSub>
      </m:oMath>
      <w:r>
        <w:t xml:space="preserve"> </w:t>
      </w:r>
      <w:r>
        <w:t xml:space="preserve">plus some random noise. While there remains an indirect connection between</w:t>
      </w:r>
      <w:r>
        <w:t xml:space="preserve"> </w:t>
      </w:r>
      <m:oMath>
        <m:sSub>
          <m:e>
            <m:r>
              <m:t>X</m:t>
            </m:r>
          </m:e>
          <m:sub>
            <m:r>
              <m:t>i</m:t>
            </m:r>
            <m:r>
              <m:t>t</m:t>
            </m:r>
          </m:sub>
        </m:sSub>
      </m:oMath>
      <w:r>
        <w:t xml:space="preserve"> </w:t>
      </w:r>
      <w:r>
        <w:t xml:space="preserve">and</w:t>
      </w:r>
      <w:r>
        <w:t xml:space="preserve"> </w:t>
      </w:r>
      <m:oMath>
        <m:sSub>
          <m:e>
            <m:r>
              <m:t>b</m:t>
            </m:r>
          </m:e>
          <m:sub>
            <m:r>
              <m:t>i</m:t>
            </m:r>
            <m:r>
              <m:t>0</m:t>
            </m:r>
          </m:sub>
        </m:sSub>
      </m:oMath>
      <w:r>
        <w:t xml:space="preserve"> </w:t>
      </w:r>
      <w:r>
        <w:t xml:space="preserve">through</w:t>
      </w:r>
      <w:r>
        <w:t xml:space="preserve"> </w:t>
      </w:r>
      <m:oMath>
        <m:sSub>
          <m:e>
            <m:r>
              <m:t>Y</m:t>
            </m:r>
          </m:e>
          <m:sub>
            <m:r>
              <m:t>i</m:t>
            </m:r>
            <m:r>
              <m:t>t</m:t>
            </m:r>
          </m:sub>
        </m:sSub>
      </m:oMath>
      <w:r>
        <w:t xml:space="preserve">, conditioning on</w:t>
      </w:r>
      <w:r>
        <w:t xml:space="preserve"> </w:t>
      </w:r>
      <m:oMath>
        <m:sSub>
          <m:e>
            <m:r>
              <m:t>Y</m:t>
            </m:r>
          </m:e>
          <m:sub>
            <m:r>
              <m:t>i</m:t>
            </m:r>
            <m:r>
              <m:t>t</m:t>
            </m:r>
          </m:sub>
        </m:sSub>
      </m:oMath>
      <w:r>
        <w:t xml:space="preserve"> </w:t>
      </w:r>
      <w:r>
        <w:t xml:space="preserve">effectively</w:t>
      </w:r>
      <w:r>
        <w:t xml:space="preserve"> </w:t>
      </w:r>
      <w:r>
        <w:t xml:space="preserve">“</w:t>
      </w:r>
      <w:r>
        <w:t xml:space="preserve">breaks the link</w:t>
      </w:r>
      <w:r>
        <w:t xml:space="preserve">”</w:t>
      </w:r>
      <w:r>
        <w:t xml:space="preserve"> </w:t>
      </w:r>
      <w:r>
        <w:t xml:space="preserve">between</w:t>
      </w:r>
      <w:r>
        <w:t xml:space="preserve"> </w:t>
      </w:r>
      <m:oMath>
        <m:sSub>
          <m:e>
            <m:r>
              <m:t>X</m:t>
            </m:r>
          </m:e>
          <m:sub>
            <m:r>
              <m:t>i</m:t>
            </m:r>
            <m:r>
              <m:t>t</m:t>
            </m:r>
          </m:sub>
        </m:sSub>
      </m:oMath>
      <w:r>
        <w:t xml:space="preserve"> </w:t>
      </w:r>
      <w:r>
        <w:t xml:space="preserve">and the random effects, satisfying the conditional independence assumption.</w:t>
      </w:r>
    </w:p>
    <w:p>
      <w:pPr>
        <w:pStyle w:val="BodyText"/>
      </w:pPr>
      <w:r>
        <w:t xml:space="preserve">For GM B and GM C, the direct link between the random effects and</w:t>
      </w:r>
      <w:r>
        <w:t xml:space="preserve"> </w:t>
      </w:r>
      <m:oMath>
        <m:sSub>
          <m:e>
            <m:r>
              <m:t>X</m:t>
            </m:r>
          </m:e>
          <m:sub>
            <m:r>
              <m:t>i</m:t>
            </m:r>
            <m:r>
              <m:t>t</m:t>
            </m:r>
          </m:sub>
        </m:sSub>
      </m:oMath>
      <w:r>
        <w:t xml:space="preserve"> </w:t>
      </w:r>
      <w:r>
        <w:t xml:space="preserve">remains, as in GM G. As a result, these models also violate the conditional independence assumption, suggesting the presence of bias in treatment effect estimates.</w:t>
      </w:r>
    </w:p>
    <w:p>
      <w:pPr>
        <w:pStyle w:val="BodyText"/>
      </w:pPr>
      <w:r>
        <w:t xml:space="preserve">In summary, GM G, B, and C violate the conditional independence assumption, which suggests that we would expect biased treatment effect estimates for these models. In contrast, GM A satisfies the assumption, supporting unbiased estimates of the treatment effect.</w:t>
      </w:r>
    </w:p>
    <w:bookmarkEnd w:id="49"/>
    <w:bookmarkStart w:id="60" w:name="backdoor-criterion-and-dags"/>
    <w:p>
      <w:pPr>
        <w:pStyle w:val="Heading2"/>
      </w:pPr>
      <w:r>
        <w:t xml:space="preserve">Backdoor Criterion and DAGs</w:t>
      </w:r>
    </w:p>
    <w:p>
      <w:pPr>
        <w:pStyle w:val="FirstParagraph"/>
      </w:pPr>
      <w:r>
        <w:t xml:space="preserve">The second criterion for evaluating bias in treatment effect estimates is the</w:t>
      </w:r>
      <w:r>
        <w:t xml:space="preserve"> </w:t>
      </w:r>
      <w:r>
        <w:rPr>
          <w:i/>
          <w:iCs/>
        </w:rPr>
        <w:t xml:space="preserve">backdoor criterion</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When estimating the treatment effect, the backdoor criterion can help us decide which variables to control for to ensure that we do not obtain a biased estimate of the treatment effect.</w:t>
      </w:r>
    </w:p>
    <w:p>
      <w:pPr>
        <w:pStyle w:val="BodyText"/>
      </w:pPr>
      <w:r>
        <w:t xml:space="preserve">To detect backdoor paths, directed acyclic graphs (DAGs)</w:t>
      </w:r>
      <w:r>
        <w:t xml:space="preserve"> </w:t>
      </w:r>
      <w:r>
        <w:t xml:space="preserve">(</w:t>
      </w:r>
      <w:hyperlink w:anchor="ref-pearl1995">
        <w:r>
          <w:rPr>
            <w:rStyle w:val="Hyperlink"/>
          </w:rPr>
          <w:t xml:space="preserve">Pearl, 1995</w:t>
        </w:r>
      </w:hyperlink>
      <w:r>
        <w:t xml:space="preserve">,</w:t>
      </w:r>
      <w:r>
        <w:t xml:space="preserve"> </w:t>
      </w:r>
      <w:hyperlink w:anchor="ref-pearl2009">
        <w:r>
          <w:rPr>
            <w:rStyle w:val="Hyperlink"/>
          </w:rPr>
          <w:t xml:space="preserve">2009</w:t>
        </w:r>
      </w:hyperlink>
      <w:r>
        <w:t xml:space="preserve">)</w:t>
      </w:r>
      <w:r>
        <w:t xml:space="preserve"> </w:t>
      </w:r>
      <w:r>
        <w:t xml:space="preserve">are invaluable tools. DAGs generalize conventional path diagrams</w:t>
      </w:r>
      <w:r>
        <w:t xml:space="preserve"> </w:t>
      </w:r>
      <w:r>
        <w:t xml:space="preserve">(</w:t>
      </w:r>
      <w:hyperlink w:anchor="ref-duncan1966">
        <w:r>
          <w:rPr>
            <w:rStyle w:val="Hyperlink"/>
          </w:rPr>
          <w:t xml:space="preserve">Duncan, 1966</w:t>
        </w:r>
      </w:hyperlink>
      <w:r>
        <w:t xml:space="preserve">;</w:t>
      </w:r>
      <w:r>
        <w:t xml:space="preserve"> </w:t>
      </w:r>
      <w:hyperlink w:anchor="ref-wright1934a">
        <w:r>
          <w:rPr>
            <w:rStyle w:val="Hyperlink"/>
          </w:rPr>
          <w:t xml:space="preserve">Wright, 1934</w:t>
        </w:r>
      </w:hyperlink>
      <w:r>
        <w:t xml:space="preserve">)</w:t>
      </w:r>
      <w:r>
        <w:t xml:space="preserve"> </w:t>
      </w:r>
      <w:r>
        <w:t xml:space="preserve">within a fully nonparametric framework. Unlike conventional linear path diagrams and those based on structural equation modelling (SEM), DAGs make no assumptions about distributional properties (e.g., multivariate normality) or functional forms (e.g., linearity). They encode qualitative causal assumptions about the data-generating process, where arrows indicate direct causal effects that may vary across individuals (effect heterogeneity) or depend on other variables (effect interaction or modification)</w:t>
      </w:r>
      <w:r>
        <w:t xml:space="preserve"> </w:t>
      </w:r>
      <w:r>
        <w:t xml:space="preserve">(</w:t>
      </w:r>
      <w:hyperlink w:anchor="ref-elwert2014">
        <w:r>
          <w:rPr>
            <w:rStyle w:val="Hyperlink"/>
          </w:rPr>
          <w:t xml:space="preserve">Elwert &amp; Winship, 2014</w:t>
        </w:r>
      </w:hyperlink>
      <w:r>
        <w:t xml:space="preserve">)</w:t>
      </w:r>
      <w:r>
        <w:t xml:space="preserve">. Notably, random slopes from random-effects models and interaction effects are not explicitly represented in DAGs, which precluded their use for evaluating the conditional independence assumption.</w:t>
      </w:r>
    </w:p>
    <w:p>
      <w:pPr>
        <w:pStyle w:val="BodyText"/>
      </w:pPr>
      <w:r>
        <w:t xml:space="preserve">Using the direct causal effects specified in each generative model (GM), we can formulate DAGs for the first three observations, representing the random disturbance</w:t>
      </w:r>
      <w:r>
        <w:t xml:space="preserve"> </w:t>
      </w:r>
      <m:oMath>
        <m:sSub>
          <m:e>
            <m:r>
              <m:t>b</m:t>
            </m:r>
          </m:e>
          <m:sub>
            <m:r>
              <m:t>0</m:t>
            </m:r>
            <m:r>
              <m:t>i</m:t>
            </m:r>
          </m:sub>
        </m:sSub>
      </m:oMath>
      <w:r>
        <w:t xml:space="preserve"> </w:t>
      </w:r>
      <w:r>
        <w:t xml:space="preserve">as the node</w:t>
      </w:r>
      <w:r>
        <w:t xml:space="preserve"> </w:t>
      </w:r>
      <m:oMath>
        <m:r>
          <m:t>U</m:t>
        </m:r>
      </m:oMath>
      <w:r>
        <w:t xml:space="preserve"> </w:t>
      </w:r>
      <w:r>
        <w:t xml:space="preserve">(e.g.,</w:t>
      </w:r>
      <w:r>
        <w:t xml:space="preserve"> </w:t>
      </w:r>
      <w:hyperlink w:anchor="ref-Kim2021a">
        <w:r>
          <w:rPr>
            <w:rStyle w:val="Hyperlink"/>
          </w:rPr>
          <w:t xml:space="preserve">Kim &amp; Steiner, 2021</w:t>
        </w:r>
      </w:hyperlink>
      <w:r>
        <w:t xml:space="preserve">, see</w:t>
      </w:r>
      <w:r>
        <w:t xml:space="preserve"> </w:t>
      </w:r>
      <w:hyperlink w:anchor="fig-DAGs">
        <w:r>
          <w:rPr>
            <w:rStyle w:val="Hyperlink"/>
          </w:rPr>
          <w:t xml:space="preserve">Figure 2</w:t>
        </w:r>
      </w:hyperlink>
      <w:r>
        <w:t xml:space="preserve">)</w:t>
      </w:r>
      <w:r>
        <w:t xml:space="preserve">. These diagrams confirm that random slopes and fixed interaction effects are absent. Indeed, this absence explains why the DAGs for GMs G, B, and C are equivalent.</w:t>
      </w:r>
    </w:p>
    <w:bookmarkStart w:id="58" w:name="fig-DAG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3" w:name="fig-GMG_DAG"/>
                <w:p>
                  <w:pPr>
                    <w:jc w:val="center"/>
                    <w:jc w:val="left"/>
                  </w:pPr>
                  <w:pPr>
                    <w:jc w:val="start"/>
                    <w:spacing w:before="200"/>
                    <w:pStyle w:val="ImageCaption"/>
                  </w:pPr>
                  <w:r>
                    <w:t xml:space="preserve">(a) GM G, B, C</w:t>
                  </w:r>
                </w:p>
                <w:p>
                  <w:pPr>
                    <w:pStyle w:val="Compact"/>
                    <w:jc w:val="center"/>
                    <w:jc w:val="left"/>
                  </w:pPr>
                  <w:r>
                    <w:drawing>
                      <wp:inline>
                        <wp:extent cx="2412915" cy="1987826"/>
                        <wp:effectExtent b="0" l="0" r="0" t="0"/>
                        <wp:docPr descr="" title="" id="51" name="Picture"/>
                        <a:graphic>
                          <a:graphicData uri="http://schemas.openxmlformats.org/drawingml/2006/picture">
                            <pic:pic>
                              <pic:nvPicPr>
                                <pic:cNvPr descr="research-report_files/figure-docx/fig-GMG_DAG-1.png" id="52" name="Picture"/>
                                <pic:cNvPicPr>
                                  <a:picLocks noChangeArrowheads="1" noChangeAspect="1"/>
                                </pic:cNvPicPr>
                              </pic:nvPicPr>
                              <pic:blipFill>
                                <a:blip r:embed="rId50"/>
                                <a:stretch>
                                  <a:fillRect/>
                                </a:stretch>
                              </pic:blipFill>
                              <pic:spPr bwMode="auto">
                                <a:xfrm>
                                  <a:off x="0" y="0"/>
                                  <a:ext cx="2412915" cy="1987826"/>
                                </a:xfrm>
                                <a:prstGeom prst="rect">
                                  <a:avLst/>
                                </a:prstGeom>
                                <a:noFill/>
                                <a:ln w="9525">
                                  <a:noFill/>
                                  <a:headEnd/>
                                  <a:tailEnd/>
                                </a:ln>
                              </pic:spPr>
                            </pic:pic>
                          </a:graphicData>
                        </a:graphic>
                      </wp:inline>
                    </w:drawing>
                  </w:r>
                </w:p>
                <w:bookmarkEnd w:id="53"/>
              </w:tc>
            </w:tr>
          </w:tbl>
          <w:p/>
        </w:tc>
        <w:tc>
          <w:tcPr/>
          <w:tbl>
            <w:tblPr>
              <w:tblStyle w:val="Table"/>
              <w:tblW w:type="pct" w:w="4900"/>
              <w:tblLayout w:type="fixed"/>
              <w:tblLook w:firstRow="0" w:lastRow="0" w:firstColumn="0" w:lastColumn="0" w:noHBand="0" w:noVBand="0" w:val="0000"/>
            </w:tblPr>
            <w:tblGrid>
              <w:gridCol w:w="7761"/>
            </w:tblGrid>
            <w:tr>
              <w:tc>
                <w:tcPr/>
                <w:bookmarkStart w:id="57" w:name="fig-GMA_DAG"/>
                <w:p>
                  <w:pPr>
                    <w:jc w:val="center"/>
                    <w:jc w:val="left"/>
                  </w:pPr>
                  <w:pPr>
                    <w:jc w:val="start"/>
                    <w:spacing w:before="200"/>
                    <w:pStyle w:val="ImageCaption"/>
                  </w:pPr>
                  <w:r>
                    <w:t xml:space="preserve">(b) GM A</w:t>
                  </w:r>
                </w:p>
                <w:p>
                  <w:pPr>
                    <w:pStyle w:val="Compact"/>
                    <w:jc w:val="center"/>
                    <w:jc w:val="left"/>
                  </w:pPr>
                  <w:r>
                    <w:drawing>
                      <wp:inline>
                        <wp:extent cx="2412915" cy="1987826"/>
                        <wp:effectExtent b="0" l="0" r="0" t="0"/>
                        <wp:docPr descr="" title="" id="55" name="Picture"/>
                        <a:graphic>
                          <a:graphicData uri="http://schemas.openxmlformats.org/drawingml/2006/picture">
                            <pic:pic>
                              <pic:nvPicPr>
                                <pic:cNvPr descr="research-report_files/figure-docx/fig-GMA_DAG-1.png" id="56" name="Picture"/>
                                <pic:cNvPicPr>
                                  <a:picLocks noChangeArrowheads="1" noChangeAspect="1"/>
                                </pic:cNvPicPr>
                              </pic:nvPicPr>
                              <pic:blipFill>
                                <a:blip r:embed="rId54"/>
                                <a:stretch>
                                  <a:fillRect/>
                                </a:stretch>
                              </pic:blipFill>
                              <pic:spPr bwMode="auto">
                                <a:xfrm>
                                  <a:off x="0" y="0"/>
                                  <a:ext cx="2412915" cy="1987826"/>
                                </a:xfrm>
                                <a:prstGeom prst="rect">
                                  <a:avLst/>
                                </a:prstGeom>
                                <a:noFill/>
                                <a:ln w="9525">
                                  <a:noFill/>
                                  <a:headEnd/>
                                  <a:tailEnd/>
                                </a:ln>
                              </pic:spPr>
                            </pic:pic>
                          </a:graphicData>
                        </a:graphic>
                      </wp:inline>
                    </w:drawing>
                  </w:r>
                </w:p>
                <w:bookmarkEnd w:id="57"/>
              </w:tc>
            </w:tr>
          </w:tbl>
          <w:p/>
        </w:tc>
      </w:tr>
    </w:tbl>
    <w:p>
      <w:pPr>
        <w:pStyle w:val="BodyText"/>
      </w:pPr>
      <w:pPr>
        <w:spacing w:before="200"/>
        <w:pStyle w:val="ImageCaption"/>
      </w:pPr>
      <w:r>
        <w:t xml:space="preserve">Figure 2: DAGs for Generative Models G, A, B and C (t = 1, 2, 3)</w:t>
      </w:r>
    </w:p>
    <w:bookmarkEnd w:id="58"/>
    <w:p>
      <w:pPr>
        <w:pStyle w:val="BodyText"/>
      </w:pPr>
      <w:r>
        <w:rPr>
          <w:i/>
          <w:iCs/>
        </w:rPr>
        <w:t xml:space="preserve">Note.</w:t>
      </w:r>
      <w:r>
        <w:t xml:space="preserve"> </w:t>
      </w:r>
      <w:r>
        <w:t xml:space="preserve">The node</w:t>
      </w:r>
      <w:r>
        <w:t xml:space="preserve"> </w:t>
      </w:r>
      <m:oMath>
        <m:r>
          <m:t>U</m:t>
        </m:r>
      </m:oMath>
      <w:r>
        <w:t xml:space="preserve"> </w:t>
      </w:r>
      <w:r>
        <w:t xml:space="preserve">represents the random disturbance</w:t>
      </w:r>
      <w:r>
        <w:t xml:space="preserve"> </w:t>
      </w:r>
      <m:oMath>
        <m:sSub>
          <m:e>
            <m:r>
              <m:t>b</m:t>
            </m:r>
          </m:e>
          <m:sub>
            <m:r>
              <m:t>0</m:t>
            </m:r>
            <m:r>
              <m:t>i</m:t>
            </m:r>
          </m:sub>
        </m:sSub>
      </m:oMath>
      <w:r>
        <w:t xml:space="preserve"> </w:t>
      </w:r>
      <w:r>
        <w:t xml:space="preserve">in the generative models.</w:t>
      </w:r>
    </w:p>
    <w:p>
      <w:pPr>
        <w:pStyle w:val="BodyText"/>
      </w:pPr>
      <w:r>
        <w:t xml:space="preserve">We now apply the backdoor criterion to these DAGs to assess potential violations. Application of the backdoor criterion begins by identifying all paths that connect the treatment</w:t>
      </w:r>
      <w:r>
        <w:t xml:space="preserve"> </w:t>
      </w:r>
      <m:oMath>
        <m:sSub>
          <m:e>
            <m:r>
              <m:t>A</m:t>
            </m:r>
          </m:e>
          <m:sub>
            <m:r>
              <m:t>t</m:t>
            </m:r>
          </m:sub>
        </m:sSub>
      </m:oMath>
      <w:r>
        <w:t xml:space="preserve"> </w:t>
      </w:r>
      <w:r>
        <w:t xml:space="preserve">to the outcome</w:t>
      </w:r>
      <w:r>
        <w:t xml:space="preserve"> </w:t>
      </w:r>
      <m:oMath>
        <m:sSub>
          <m:e>
            <m:r>
              <m:t>Y</m:t>
            </m:r>
          </m:e>
          <m:sub>
            <m:r>
              <m:t>t</m:t>
            </m:r>
            <m:r>
              <m:rPr>
                <m:sty m:val="p"/>
              </m:rPr>
              <m:t>+</m:t>
            </m:r>
            <m:r>
              <m:t>1</m:t>
            </m:r>
          </m:sub>
        </m:sSub>
      </m:oMath>
      <w:r>
        <w:t xml:space="preserve">, excluding the direct treatment effect itself. Next, we determine whether these paths can transmit association by applying the d-separation rules</w:t>
      </w:r>
      <w:r>
        <w:rPr>
          <w:rStyle w:val="FootnoteReference"/>
        </w:rPr>
        <w:footnoteReference w:id="59"/>
      </w:r>
      <w:r>
        <w:t xml:space="preserve">. A path that contains an arrow pointing to the treatment</w:t>
      </w:r>
      <w:r>
        <w:t xml:space="preserve"> </w:t>
      </w:r>
      <m:oMath>
        <m:sSub>
          <m:e>
            <m:r>
              <m:t>A</m:t>
            </m:r>
          </m:e>
          <m:sub>
            <m:r>
              <m:t>t</m:t>
            </m:r>
          </m:sub>
        </m:sSub>
      </m:oMath>
      <w:r>
        <w:t xml:space="preserve"> </w:t>
      </w:r>
      <w:r>
        <w:t xml:space="preserve">is considered a</w:t>
      </w:r>
      <w:r>
        <w:t xml:space="preserve"> </w:t>
      </w:r>
      <w:r>
        <w:rPr>
          <w:i/>
          <w:iCs/>
        </w:rPr>
        <w:t xml:space="preserve">backdoor path</w:t>
      </w:r>
      <w:r>
        <w:t xml:space="preserve">.</w:t>
      </w:r>
    </w:p>
    <w:p>
      <w:pPr>
        <w:pStyle w:val="BodyText"/>
      </w:pPr>
      <w:r>
        <w:t xml:space="preserve">Examining the DAGs presented in</w:t>
      </w:r>
      <w:r>
        <w:t xml:space="preserve"> </w:t>
      </w:r>
      <w:hyperlink w:anchor="fig-DAGs">
        <w:r>
          <w:rPr>
            <w:rStyle w:val="Hyperlink"/>
          </w:rPr>
          <w:t xml:space="preserve">Figure 2</w:t>
        </w:r>
      </w:hyperlink>
      <w:r>
        <w:t xml:space="preserve">, we observe that none of the GMs contains any path connecting</w:t>
      </w:r>
      <w:r>
        <w:t xml:space="preserve"> </w:t>
      </w:r>
      <m:oMath>
        <m:sSub>
          <m:e>
            <m:r>
              <m:t>A</m:t>
            </m:r>
          </m:e>
          <m:sub>
            <m:r>
              <m:t>t</m:t>
            </m:r>
          </m:sub>
        </m:sSub>
      </m:oMath>
      <w:r>
        <w:t xml:space="preserve"> </w:t>
      </w:r>
      <w:r>
        <w:t xml:space="preserve">to</w:t>
      </w:r>
      <w:r>
        <w:t xml:space="preserve"> </w:t>
      </w:r>
      <m:oMath>
        <m:sSub>
          <m:e>
            <m:r>
              <m:t>Y</m:t>
            </m:r>
          </m:e>
          <m:sub>
            <m:r>
              <m:t>t</m:t>
            </m:r>
            <m:r>
              <m:rPr>
                <m:sty m:val="p"/>
              </m:rPr>
              <m:t>+</m:t>
            </m:r>
            <m:r>
              <m:t>1</m:t>
            </m:r>
          </m:sub>
        </m:sSub>
      </m:oMath>
      <w:r>
        <w:t xml:space="preserve"> </w:t>
      </w:r>
      <w:r>
        <w:t xml:space="preserve">other than the direct treatment effect itself. This confirms that there are no backdoor paths between</w:t>
      </w:r>
      <w:r>
        <w:t xml:space="preserve"> </w:t>
      </w:r>
      <m:oMath>
        <m:sSub>
          <m:e>
            <m:r>
              <m:t>A</m:t>
            </m:r>
          </m:e>
          <m:sub>
            <m:r>
              <m:t>t</m:t>
            </m:r>
          </m:sub>
        </m:sSub>
      </m:oMath>
      <w:r>
        <w:t xml:space="preserve"> </w:t>
      </w:r>
      <w:r>
        <w:t xml:space="preserve">and</w:t>
      </w:r>
      <w:r>
        <w:t xml:space="preserve"> </w:t>
      </w:r>
      <m:oMath>
        <m:sSub>
          <m:e>
            <m:r>
              <m:t>Y</m:t>
            </m:r>
          </m:e>
          <m:sub>
            <m:r>
              <m:t>t</m:t>
            </m:r>
            <m:r>
              <m:rPr>
                <m:sty m:val="p"/>
              </m:rPr>
              <m:t>+</m:t>
            </m:r>
            <m:r>
              <m:t>1</m:t>
            </m:r>
          </m:sub>
        </m:sSub>
      </m:oMath>
      <w:r>
        <w:t xml:space="preserve">, as</w:t>
      </w:r>
      <w:r>
        <w:t xml:space="preserve"> </w:t>
      </w:r>
      <m:oMath>
        <m:sSub>
          <m:e>
            <m:r>
              <m:t>A</m:t>
            </m:r>
          </m:e>
          <m:sub>
            <m:r>
              <m:t>t</m:t>
            </m:r>
          </m:sub>
        </m:sSub>
      </m:oMath>
      <w:r>
        <w:t xml:space="preserve"> </w:t>
      </w:r>
      <w:r>
        <w:t xml:space="preserve">lacks any parent nodes. Indeed, the random assignment of the treatment ensures, by design, the absence of backdoor paths and any shared common cause with the outcome. Consequently, the covariate</w:t>
      </w:r>
      <w:r>
        <w:t xml:space="preserve"> </w:t>
      </w:r>
      <m:oMath>
        <m:sSub>
          <m:e>
            <m:r>
              <m:t>X</m:t>
            </m:r>
          </m:e>
          <m:sub>
            <m:r>
              <m:t>t</m:t>
            </m:r>
          </m:sub>
        </m:sSub>
      </m:oMath>
      <w:r>
        <w:t xml:space="preserve"> </w:t>
      </w:r>
      <w:r>
        <w:t xml:space="preserve">does not need to be controlled for to obtain an unbiased estimate of the total effect.</w:t>
      </w:r>
    </w:p>
    <w:p>
      <w:pPr>
        <w:pStyle w:val="BodyText"/>
      </w:pPr>
      <w:r>
        <w:t xml:space="preserve">Additionally, the lack of any pathways connecting</w:t>
      </w:r>
      <w:r>
        <w:t xml:space="preserve"> </w:t>
      </w:r>
      <m:oMath>
        <m:sSub>
          <m:e>
            <m:r>
              <m:t>A</m:t>
            </m:r>
          </m:e>
          <m:sub>
            <m:r>
              <m:t>t</m:t>
            </m:r>
          </m:sub>
        </m:sSub>
      </m:oMath>
      <w:r>
        <w:t xml:space="preserve"> </w:t>
      </w:r>
      <w:r>
        <w:t xml:space="preserve">to</w:t>
      </w:r>
      <w:r>
        <w:t xml:space="preserve"> </w:t>
      </w:r>
      <m:oMath>
        <m:sSub>
          <m:e>
            <m:r>
              <m:t>Y</m:t>
            </m:r>
          </m:e>
          <m:sub>
            <m:r>
              <m:t>t</m:t>
            </m:r>
            <m:r>
              <m:rPr>
                <m:sty m:val="p"/>
              </m:rPr>
              <m:t>+</m:t>
            </m:r>
            <m:r>
              <m:t>1</m:t>
            </m:r>
          </m:sub>
        </m:sSub>
      </m:oMath>
      <w:r>
        <w:t xml:space="preserve"> </w:t>
      </w:r>
      <w:r>
        <w:t xml:space="preserve">other than the direct treatment effect ensures that including</w:t>
      </w:r>
      <w:r>
        <w:t xml:space="preserve"> </w:t>
      </w:r>
      <m:oMath>
        <m:sSub>
          <m:e>
            <m:r>
              <m:t>X</m:t>
            </m:r>
          </m:e>
          <m:sub>
            <m:r>
              <m:t>t</m:t>
            </m:r>
          </m:sub>
        </m:sSub>
      </m:oMath>
      <w:r>
        <w:t xml:space="preserve"> </w:t>
      </w:r>
      <w:r>
        <w:t xml:space="preserve">does not introduce identification issues. Its inclusion may increase the statistical power to detect the treatment effect. Therefore, according to the backdoor criterion, the inclusion of the time-varying covariate</w:t>
      </w:r>
      <w:r>
        <w:t xml:space="preserve"> </w:t>
      </w:r>
      <m:oMath>
        <m:sSub>
          <m:e>
            <m:r>
              <m:t>X</m:t>
            </m:r>
          </m:e>
          <m:sub>
            <m:r>
              <m:t>i</m:t>
            </m:r>
            <m:r>
              <m:t>t</m:t>
            </m:r>
          </m:sub>
        </m:sSub>
      </m:oMath>
      <w:r>
        <w:t xml:space="preserve"> </w:t>
      </w:r>
      <w:r>
        <w:t xml:space="preserve">should not lead to biased estimates of the treatment effect in any of the generative models.</w:t>
      </w:r>
    </w:p>
    <w:bookmarkEnd w:id="60"/>
    <w:bookmarkStart w:id="67" w:name="simulation-study"/>
    <w:p>
      <w:pPr>
        <w:pStyle w:val="Heading2"/>
      </w:pPr>
      <w:r>
        <w:t xml:space="preserve">Simulation Study</w:t>
      </w:r>
    </w:p>
    <w:p>
      <w:pPr>
        <w:pStyle w:val="FirstParagraph"/>
      </w:pPr>
      <w:hyperlink w:anchor="fig-simulation-results">
        <w:r>
          <w:rPr>
            <w:rStyle w:val="Hyperlink"/>
          </w:rPr>
          <w:t xml:space="preserve">Figure 3</w:t>
        </w:r>
      </w:hyperlink>
      <w:r>
        <w:t xml:space="preserve"> </w:t>
      </w:r>
      <w:r>
        <w:t xml:space="preserve">present the simulation results for each of the generative models</w:t>
      </w:r>
      <w:r>
        <w:rPr>
          <w:rStyle w:val="FootnoteReference"/>
        </w:rPr>
        <w:footnoteReference w:id="61"/>
      </w:r>
      <w:r>
        <w:t xml:space="preserve">, where bias refers to the difference between the mean of the estimated parameter values</w:t>
      </w:r>
      <w:r>
        <w:t xml:space="preserve"> </w:t>
      </w:r>
      <m:oMath>
        <m:sSub>
          <m:e>
            <m:acc>
              <m:accPr>
                <m:chr m:val="‾"/>
              </m:accPr>
              <m:e>
                <m:r>
                  <m:t>β</m:t>
                </m:r>
              </m:e>
            </m:acc>
          </m:e>
          <m:sub>
            <m:r>
              <m:t>0</m:t>
            </m:r>
          </m:sub>
        </m:sSub>
      </m:oMath>
      <w:r>
        <w:t xml:space="preserve"> </w:t>
      </w:r>
      <w:r>
        <w:t xml:space="preserve">and the prespecified treatment effect</w:t>
      </w:r>
      <w:r>
        <w:t xml:space="preserve"> </w:t>
      </w:r>
      <m:oMath>
        <m:sSub>
          <m:e>
            <m:r>
              <m:t>β</m:t>
            </m:r>
          </m:e>
          <m:sub>
            <m:r>
              <m:t>0</m:t>
            </m:r>
          </m:sub>
        </m:sSub>
      </m:oMath>
      <w:r>
        <w:t xml:space="preserve">. As</w:t>
      </w:r>
      <w:r>
        <w:t xml:space="preserve"> </w:t>
      </w:r>
      <m:oMath>
        <m:sSub>
          <m:e>
            <m:r>
              <m:t>β</m:t>
            </m:r>
          </m:e>
          <m:sub>
            <m:r>
              <m:t>0</m:t>
            </m:r>
          </m:sub>
        </m:sSub>
        <m:r>
          <m:rPr>
            <m:sty m:val="p"/>
          </m:rPr>
          <m:t>=</m:t>
        </m:r>
        <m:r>
          <m:t>1</m:t>
        </m:r>
      </m:oMath>
      <w:r>
        <w:t xml:space="preserve">, an absolute bias of 0.05 implies a</w:t>
      </w:r>
      <w:r>
        <w:t xml:space="preserve"> </w:t>
      </w:r>
      <m:oMath>
        <m:r>
          <m:t>5</m:t>
        </m:r>
        <m:r>
          <m:rPr>
            <m:sty m:val="p"/>
          </m:rPr>
          <m:t>%</m:t>
        </m:r>
      </m:oMath>
      <w:r>
        <w:t xml:space="preserve"> </w:t>
      </w:r>
      <w:r>
        <w:t xml:space="preserve">relative bias.</w:t>
      </w:r>
    </w:p>
    <w:tbl>
      <w:tblPr>
        <w:tblStyle w:val="Table"/>
        <w:tblW w:type="pct" w:w="5000"/>
        <w:tblLayout w:type="fixed"/>
        <w:tblLook w:firstRow="0" w:lastRow="0" w:firstColumn="0" w:lastColumn="0" w:noHBand="0" w:noVBand="0" w:val="0000"/>
      </w:tblPr>
      <w:tblGrid>
        <w:gridCol w:w="7920"/>
      </w:tblGrid>
      <w:tr>
        <w:tc>
          <w:tcPr/>
          <w:bookmarkStart w:id="66" w:name="fig-simulation-results"/>
          <w:p>
            <w:pPr>
              <w:jc w:val="center"/>
            </w:pPr>
            <w:pPr>
              <w:jc w:val="start"/>
              <w:spacing w:before="200"/>
              <w:pStyle w:val="ImageCaption"/>
            </w:pPr>
            <w:r>
              <w:t xml:space="preserve">Figure 3: Estimation bias for the fixed treatment effect</w:t>
            </w:r>
            <w:r>
              <w:t xml:space="preserve"> </w:t>
            </w:r>
            <m:oMath>
              <m:sSub>
                <m:e>
                  <m:r>
                    <m:t>β</m:t>
                  </m:r>
                </m:e>
                <m:sub>
                  <m:r>
                    <m:t>0</m:t>
                  </m:r>
                </m:sub>
              </m:sSub>
            </m:oMath>
            <w:r>
              <w:t xml:space="preserve"> </w:t>
            </w:r>
            <w:r>
              <w:t xml:space="preserve">of each generative model for different combinations of sample size</w:t>
            </w:r>
            <w:r>
              <w:t xml:space="preserve"> </w:t>
            </w:r>
            <m:oMath>
              <m:r>
                <m:t>N</m:t>
              </m:r>
            </m:oMath>
            <w:r>
              <w:t xml:space="preserve"> </w:t>
            </w:r>
            <w:r>
              <w:t xml:space="preserve">and number of timepoints</w:t>
            </w:r>
            <w:r>
              <w:t xml:space="preserve"> </w:t>
            </w:r>
            <m:oMath>
              <m:r>
                <m:t>T</m:t>
              </m:r>
            </m:oMath>
            <w:r>
              <w:t xml:space="preserve"> </w:t>
            </w:r>
            <w:r>
              <w:t xml:space="preserve">over 10,000 simulation replications</w:t>
            </w:r>
          </w:p>
          <w:p>
            <w:pPr>
              <w:pStyle w:val="Compact"/>
              <w:jc w:val="center"/>
            </w:pPr>
            <w:r>
              <w:drawing>
                <wp:inline>
                  <wp:extent cx="5334000" cy="7704666"/>
                  <wp:effectExtent b="0" l="0" r="0" t="0"/>
                  <wp:docPr descr="" title="" id="64" name="Picture"/>
                  <a:graphic>
                    <a:graphicData uri="http://schemas.openxmlformats.org/drawingml/2006/picture">
                      <pic:pic>
                        <pic:nvPicPr>
                          <pic:cNvPr descr="research-report_files/figure-docx/fig-simulation-results-1.png" id="65" name="Picture"/>
                          <pic:cNvPicPr>
                            <a:picLocks noChangeArrowheads="1" noChangeAspect="1"/>
                          </pic:cNvPicPr>
                        </pic:nvPicPr>
                        <pic:blipFill>
                          <a:blip r:embed="rId63"/>
                          <a:stretch>
                            <a:fillRect/>
                          </a:stretch>
                        </pic:blipFill>
                        <pic:spPr bwMode="auto">
                          <a:xfrm>
                            <a:off x="0" y="0"/>
                            <a:ext cx="5334000" cy="7704666"/>
                          </a:xfrm>
                          <a:prstGeom prst="rect">
                            <a:avLst/>
                          </a:prstGeom>
                          <a:noFill/>
                          <a:ln w="9525">
                            <a:noFill/>
                            <a:headEnd/>
                            <a:tailEnd/>
                          </a:ln>
                        </pic:spPr>
                      </pic:pic>
                    </a:graphicData>
                  </a:graphic>
                </wp:inline>
              </w:drawing>
            </w:r>
          </w:p>
          <w:bookmarkEnd w:id="66"/>
        </w:tc>
      </w:tr>
    </w:tbl>
    <w:p>
      <w:pPr>
        <w:pStyle w:val="BodyText"/>
      </w:pPr>
      <w:r>
        <w:t xml:space="preserve">In this reproduction of</w:t>
      </w:r>
      <w:r>
        <w:t xml:space="preserve"> </w:t>
      </w:r>
      <w:r>
        <w:t xml:space="preserve">Qian et al. (</w:t>
      </w:r>
      <w:hyperlink w:anchor="ref-qian2020">
        <w:r>
          <w:rPr>
            <w:rStyle w:val="Hyperlink"/>
          </w:rPr>
          <w:t xml:space="preserve">2020</w:t>
        </w:r>
      </w:hyperlink>
      <w:r>
        <w:t xml:space="preserve">)</w:t>
      </w:r>
      <w:r>
        <w:t xml:space="preserve">, the overall pattern was consistent with the original study: we observed substantial absolute bias ranging from</w:t>
      </w:r>
      <w:r>
        <w:t xml:space="preserve"> </w:t>
      </w:r>
      <m:oMath>
        <m:r>
          <m:t>0.023</m:t>
        </m:r>
      </m:oMath>
      <w:r>
        <w:t xml:space="preserve"> </w:t>
      </w:r>
      <w:r>
        <w:t xml:space="preserve">(</w:t>
      </w:r>
      <m:oMath>
        <m:r>
          <m:t>2.3</m:t>
        </m:r>
        <m:r>
          <m:rPr>
            <m:sty m:val="p"/>
          </m:rPr>
          <m:t>%</m:t>
        </m:r>
      </m:oMath>
      <w:r>
        <w:t xml:space="preserve">) to</w:t>
      </w:r>
      <w:r>
        <w:t xml:space="preserve"> </w:t>
      </w:r>
      <m:oMath>
        <m:r>
          <m:t>0.056</m:t>
        </m:r>
      </m:oMath>
      <w:r>
        <w:t xml:space="preserve"> </w:t>
      </w:r>
      <w:r>
        <w:t xml:space="preserve">(</w:t>
      </w:r>
      <m:oMath>
        <m:r>
          <m:t>5.6</m:t>
        </m:r>
        <m:r>
          <m:rPr>
            <m:sty m:val="p"/>
          </m:rPr>
          <m:t>%</m:t>
        </m:r>
      </m:oMath>
      <w:r>
        <w:t xml:space="preserve">) for the most general generative model (GM G) and no discernible bias (</w:t>
      </w:r>
      <m:oMath>
        <m:r>
          <m:rPr>
            <m:sty m:val="p"/>
          </m:rPr>
          <m:t>≤</m:t>
        </m:r>
        <m:r>
          <m:t>0.002</m:t>
        </m:r>
      </m:oMath>
      <w:r>
        <w:t xml:space="preserve"> </w:t>
      </w:r>
      <w:r>
        <w:t xml:space="preserve">or</w:t>
      </w:r>
      <w:r>
        <w:t xml:space="preserve"> </w:t>
      </w:r>
      <m:oMath>
        <m:r>
          <m:t>0.2</m:t>
        </m:r>
        <m:r>
          <m:rPr>
            <m:sty m:val="p"/>
          </m:rPr>
          <m:t>%</m:t>
        </m:r>
      </m:oMath>
      <w:r>
        <w:t xml:space="preserve">) for GM A. These results align with expectations based on the conditional independence assumption, but contradict the backdoor criterion, which predicted the absence of bias for all the GMs. As shown in</w:t>
      </w:r>
      <w:r>
        <w:t xml:space="preserve"> </w:t>
      </w:r>
      <w:hyperlink w:anchor="fig-simulation-results">
        <w:r>
          <w:rPr>
            <w:rStyle w:val="Hyperlink"/>
          </w:rPr>
          <w:t xml:space="preserve">Figure 3</w:t>
        </w:r>
      </w:hyperlink>
      <w:r>
        <w:t xml:space="preserve">, the magnitude of the bias in GM G decreased as the number of time points (</w:t>
      </w:r>
      <m:oMath>
        <m:r>
          <m:t>T</m:t>
        </m:r>
      </m:oMath>
      <w:r>
        <w:t xml:space="preserve">) increased. While a larger sample size (</w:t>
      </w:r>
      <m:oMath>
        <m:r>
          <m:t>N</m:t>
        </m:r>
      </m:oMath>
      <w:r>
        <w:t xml:space="preserve">) reduced the variability of the bias across replications, it did not reduce the bias itself. This indicates the bias is systematic, and the estimates are inconsistent, meaning they do not converge to the true value as</w:t>
      </w:r>
      <w:r>
        <w:t xml:space="preserve"> </w:t>
      </w:r>
      <m:oMath>
        <m:r>
          <m:t>N</m:t>
        </m:r>
      </m:oMath>
      <w:r>
        <w:t xml:space="preserve"> </w:t>
      </w:r>
      <w:r>
        <w:t xml:space="preserve">increases.</w:t>
      </w:r>
    </w:p>
    <w:p>
      <w:pPr>
        <w:pStyle w:val="BodyText"/>
      </w:pPr>
      <w:r>
        <w:t xml:space="preserve">Similar to GM A, we observed no discernible bias for GM B (</w:t>
      </w:r>
      <m:oMath>
        <m:r>
          <m:rPr>
            <m:sty m:val="p"/>
          </m:rPr>
          <m:t>≤</m:t>
        </m:r>
        <m:r>
          <m:t>0.005</m:t>
        </m:r>
      </m:oMath>
      <w:r>
        <w:t xml:space="preserve"> </w:t>
      </w:r>
      <w:r>
        <w:t xml:space="preserve">or</w:t>
      </w:r>
      <w:r>
        <w:t xml:space="preserve"> </w:t>
      </w:r>
      <m:oMath>
        <m:r>
          <m:t>0.5</m:t>
        </m:r>
        <m:r>
          <m:rPr>
            <m:sty m:val="p"/>
          </m:rPr>
          <m:t>%</m:t>
        </m:r>
      </m:oMath>
      <w:r>
        <w:t xml:space="preserve">) and GM C (</w:t>
      </w:r>
      <m:oMath>
        <m:r>
          <m:rPr>
            <m:sty m:val="p"/>
          </m:rPr>
          <m:t>≤</m:t>
        </m:r>
        <m:r>
          <m:t>0.003</m:t>
        </m:r>
      </m:oMath>
      <w:r>
        <w:t xml:space="preserve"> </w:t>
      </w:r>
      <w:r>
        <w:t xml:space="preserve">or</w:t>
      </w:r>
      <w:r>
        <w:t xml:space="preserve"> </w:t>
      </w:r>
      <m:oMath>
        <m:r>
          <m:t>0.3</m:t>
        </m:r>
        <m:r>
          <m:rPr>
            <m:sty m:val="p"/>
          </m:rPr>
          <m:t>%</m:t>
        </m:r>
      </m:oMath>
      <w:r>
        <w:t xml:space="preserve">). These findings align with the backdoor criterion’s prediction of no bias but contradict the expectations based on the conditional independence assumption, which suggests the presence of bias. Additionally, GM B showed much smaller variability across simulation replications compared to all other GMs. In contrast, the remaining models exhibited comparable levels of variability (see</w:t>
      </w:r>
      <w:r>
        <w:t xml:space="preserve"> </w:t>
      </w:r>
      <w:hyperlink w:anchor="fig-simulation-results">
        <w:r>
          <w:rPr>
            <w:rStyle w:val="Hyperlink"/>
          </w:rPr>
          <w:t xml:space="preserve">Figure 3</w:t>
        </w:r>
      </w:hyperlink>
      <w:r>
        <w:t xml:space="preserve">).</w:t>
      </w:r>
    </w:p>
    <w:p>
      <w:pPr>
        <w:pStyle w:val="BodyText"/>
      </w:pPr>
      <w:r>
        <w:t xml:space="preserve">In summary, these findings suggest that if the underlying GM did not include the direct dependency of the random intercept on the covariate (GM A), the random slope</w:t>
      </w:r>
      <w:r>
        <w:t xml:space="preserve"> </w:t>
      </w:r>
      <m:oMath>
        <m:sSub>
          <m:e>
            <m:r>
              <m:t>b</m:t>
            </m:r>
          </m:e>
          <m:sub>
            <m:r>
              <m:t>i</m:t>
            </m:r>
            <m:r>
              <m:t>2</m:t>
            </m:r>
          </m:sub>
        </m:sSub>
      </m:oMath>
      <w:r>
        <w:t xml:space="preserve"> </w:t>
      </w:r>
      <w:r>
        <w:t xml:space="preserve">(GM B), or the interaction term</w:t>
      </w:r>
      <w:r>
        <w:t xml:space="preserve"> </w:t>
      </w:r>
      <m:oMath>
        <m:sSub>
          <m:e>
            <m:r>
              <m:t>β</m:t>
            </m:r>
          </m:e>
          <m:sub>
            <m:r>
              <m:t>1</m:t>
            </m:r>
          </m:sub>
        </m:sSub>
      </m:oMath>
      <w:r>
        <w:t xml:space="preserve"> </w:t>
      </w:r>
      <w:r>
        <w:t xml:space="preserve">(GM C), as in GM G, the bias disappears. However, neither the backdoor criterion nor the conditional independence assumption provided consistent predictions of treatment effect bias across all models.</w:t>
      </w:r>
    </w:p>
    <w:bookmarkEnd w:id="67"/>
    <w:bookmarkEnd w:id="68"/>
    <w:bookmarkStart w:id="73" w:name="discussion"/>
    <w:p>
      <w:pPr>
        <w:pStyle w:val="Heading1"/>
      </w:pPr>
      <w:r>
        <w:t xml:space="preserve">Discussion</w:t>
      </w:r>
    </w:p>
    <w:bookmarkStart w:id="71" w:name="main-findings"/>
    <w:p>
      <w:pPr>
        <w:pStyle w:val="Heading2"/>
      </w:pPr>
      <w:r>
        <w:t xml:space="preserve">Main Findings</w:t>
      </w:r>
    </w:p>
    <w:p>
      <w:pPr>
        <w:pStyle w:val="FirstParagraph"/>
      </w:pPr>
      <w:r>
        <w:t xml:space="preserve">In this research report, we evaluated several GMs to investigate when endogenous time-varying covariates bias treatment effect estimates in MLMs under randomized treatment. We also assessed the ability of the conditional independence assumption and the backdoor criterion to predict this bias. Consistent with</w:t>
      </w:r>
      <w:r>
        <w:t xml:space="preserve"> </w:t>
      </w:r>
      <w:r>
        <w:t xml:space="preserve">Qian et al. (</w:t>
      </w:r>
      <w:hyperlink w:anchor="ref-qian2020">
        <w:r>
          <w:rPr>
            <w:rStyle w:val="Hyperlink"/>
          </w:rPr>
          <w:t xml:space="preserve">2020</w:t>
        </w:r>
      </w:hyperlink>
      <w:r>
        <w:t xml:space="preserve">)</w:t>
      </w:r>
      <w:r>
        <w:t xml:space="preserve"> </w:t>
      </w:r>
      <w:r>
        <w:t xml:space="preserve">and the conditional independence assumption, we observed biased and inconsistent estimates in the most general model (GM G), but not in a special case (GM A), that did not contain a direct effect of the random intercept on the covariate. Similarly, no discernible bias was found for the two additional special cases of GM G—where the random slope for treatment (GM B) or the interaction term between treatment and covariate (GM C) were present—despite violations of the conditional independence assumption. These findings suggest that, at least in this instance, the dependency between the covariate and treatment, the random slope for treatment, and the interaction effect are all essential for bias to occur.</w:t>
      </w:r>
    </w:p>
    <w:p>
      <w:pPr>
        <w:pStyle w:val="BodyText"/>
      </w:pPr>
      <w:r>
        <w:t xml:space="preserve">One possibility is that heterogeneity in the treatment effect—both explained by the covariate and influenced by the random slope—is necessary for bias to occur. Both factors appear to be essential in driving the bias, rather than either factor alone. This aligns with @qian2020’s assertion that</w:t>
      </w:r>
      <w:r>
        <w:t xml:space="preserve"> </w:t>
      </w:r>
      <w:r>
        <w:t xml:space="preserve">“</w:t>
      </w:r>
      <w:r>
        <w:t xml:space="preserve">applying linear mixed models is problematic because potential moderators of the treatment effect are frequently endogenous</w:t>
      </w:r>
      <w:r>
        <w:t xml:space="preserve">”</w:t>
      </w:r>
      <w:r>
        <w:t xml:space="preserve"> </w:t>
      </w:r>
      <w:r>
        <w:t xml:space="preserve">(p. 375). If treatment effect moderation by a covariate is indeed a prerequisite for bias, it could explain the absence of bias in GM C, where no interaction term was included. However this would not explain why the bias disappears in the model without the random slope (GM B). More generally, note of caution is due here since the current study only considered a specific set of GMs. Further research is needed to determine whether these findings generalize or are specific to the evaluated GMs, thereby informing practical recommendations for using MLMs with endogenous time-varying covariates.</w:t>
      </w:r>
    </w:p>
    <w:p>
      <w:pPr>
        <w:pStyle w:val="BodyText"/>
      </w:pPr>
      <w:r>
        <w:t xml:space="preserve">Regarding the backdoor criterion and DAGs</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our results suggest that the classical non-parametric DAG may be insufficient to identify bias in GM G. While DAGs account for direct causal effects, they do not impose restrictions on random slopes or interaction effects</w:t>
      </w:r>
      <w:r>
        <w:rPr>
          <w:rStyle w:val="FootnoteReference"/>
        </w:rPr>
        <w:footnoteReference w:id="69"/>
      </w:r>
      <w:r>
        <w:t xml:space="preserve">, which are central to the conditional independence assumption. Similar concerns regarding the use of the DAG with Pearl’s backdoor criterion in situations with interaction effects have been raised</w:t>
      </w:r>
      <w:r>
        <w:t xml:space="preserve"> </w:t>
      </w:r>
      <w:r>
        <w:t xml:space="preserve">(</w:t>
      </w:r>
      <w:hyperlink w:anchor="ref-attia2022">
        <w:r>
          <w:rPr>
            <w:rStyle w:val="Hyperlink"/>
          </w:rPr>
          <w:t xml:space="preserve">Attia et al., 2022</w:t>
        </w:r>
      </w:hyperlink>
      <w:r>
        <w:t xml:space="preserve">;</w:t>
      </w:r>
      <w:r>
        <w:t xml:space="preserve"> </w:t>
      </w:r>
      <w:hyperlink w:anchor="ref-weinberg2007">
        <w:r>
          <w:rPr>
            <w:rStyle w:val="Hyperlink"/>
          </w:rPr>
          <w:t xml:space="preserve">Weinberg, 2007</w:t>
        </w:r>
      </w:hyperlink>
      <w:r>
        <w:t xml:space="preserve">)</w:t>
      </w:r>
      <w:r>
        <w:t xml:space="preserve">. Future research could explore to what extent proposed extensions of the DAG—that incorporate interaction effects—may allow the backdoor criterion to identify bias in the treatment effect estimates.</w:t>
      </w:r>
    </w:p>
    <w:p>
      <w:pPr>
        <w:pStyle w:val="BodyText"/>
      </w:pPr>
      <w:r>
        <w:t xml:space="preserve">Another avenue for future investigation is the role of centering approaches (see</w:t>
      </w:r>
      <w:r>
        <w:t xml:space="preserve"> </w:t>
      </w:r>
      <w:r>
        <w:t xml:space="preserve">Hamaker &amp; Muthén (</w:t>
      </w:r>
      <w:hyperlink w:anchor="ref-hamaker2020">
        <w:r>
          <w:rPr>
            <w:rStyle w:val="Hyperlink"/>
          </w:rPr>
          <w:t xml:space="preserve">2020</w:t>
        </w:r>
      </w:hyperlink>
      <w:r>
        <w:t xml:space="preserve">)</w:t>
      </w:r>
      <w:r>
        <w:t xml:space="preserve"> </w:t>
      </w:r>
      <w:r>
        <w:t xml:space="preserve">for an overview). Namely,</w:t>
      </w:r>
      <w:r>
        <w:t xml:space="preserve"> </w:t>
      </w:r>
      <w:r>
        <w:t xml:space="preserve">Antonakis et al. (</w:t>
      </w:r>
      <w:hyperlink w:anchor="ref-antonakis2021">
        <w:r>
          <w:rPr>
            <w:rStyle w:val="Hyperlink"/>
          </w:rPr>
          <w:t xml:space="preserve">2021</w:t>
        </w:r>
      </w:hyperlink>
      <w:r>
        <w:t xml:space="preserve">)</w:t>
      </w:r>
      <w:r>
        <w:t xml:space="preserve"> </w:t>
      </w:r>
      <w:r>
        <w:t xml:space="preserve">notes that the assumption of uncorrelatedness between the random effects and level 1 covariates can be relaxed by using Mundlak’s contextual model</w:t>
      </w:r>
      <w:r>
        <w:rPr>
          <w:rStyle w:val="FootnoteReference"/>
        </w:rPr>
        <w:footnoteReference w:id="70"/>
      </w:r>
      <w:r>
        <w:t xml:space="preserve"> </w:t>
      </w:r>
      <w:r>
        <w:t xml:space="preserve">(</w:t>
      </w:r>
      <w:hyperlink w:anchor="ref-mundlak1978">
        <w:r>
          <w:rPr>
            <w:rStyle w:val="Hyperlink"/>
          </w:rPr>
          <w:t xml:space="preserve">Mundlak, 1978</w:t>
        </w:r>
      </w:hyperlink>
      <w:r>
        <w:t xml:space="preserve">)</w:t>
      </w:r>
      <w:r>
        <w:t xml:space="preserve">: adding the cluster means of each covariate as predictor of the random intercept. Such an approach of explicitly modeling the source of endogeneity, as advocated by</w:t>
      </w:r>
      <w:r>
        <w:t xml:space="preserve"> </w:t>
      </w:r>
      <w:r>
        <w:t xml:space="preserve">Bell &amp; Jones (</w:t>
      </w:r>
      <w:hyperlink w:anchor="ref-bell2015">
        <w:r>
          <w:rPr>
            <w:rStyle w:val="Hyperlink"/>
          </w:rPr>
          <w:t xml:space="preserve">2015</w:t>
        </w:r>
      </w:hyperlink>
      <w:r>
        <w:t xml:space="preserve">)</w:t>
      </w:r>
      <w:r>
        <w:t xml:space="preserve">, may further clarify the treatment effect bias in GM G.</w:t>
      </w:r>
    </w:p>
    <w:p>
      <w:pPr>
        <w:pStyle w:val="BodyText"/>
      </w:pPr>
      <w:r>
        <w:t xml:space="preserve">Finally,</w:t>
      </w:r>
      <w:r>
        <w:t xml:space="preserve"> </w:t>
      </w:r>
      <w:r>
        <w:t xml:space="preserve">Qian et al. (</w:t>
      </w:r>
      <w:hyperlink w:anchor="ref-qian2020">
        <w:r>
          <w:rPr>
            <w:rStyle w:val="Hyperlink"/>
          </w:rPr>
          <w:t xml:space="preserve">2020</w:t>
        </w:r>
      </w:hyperlink>
      <w:r>
        <w:t xml:space="preserve">)</w:t>
      </w:r>
      <w:r>
        <w:t xml:space="preserve"> </w:t>
      </w:r>
      <w:r>
        <w:t xml:space="preserve">only considered independent random effects, a restrictive assumption that may be violated in practice. Exploring correlated random effects using structural equation modeling frameworks</w:t>
      </w:r>
      <w:r>
        <w:t xml:space="preserve"> </w:t>
      </w:r>
      <w:r>
        <w:t xml:space="preserve">(</w:t>
      </w:r>
      <w:hyperlink w:anchor="ref-rovine2000">
        <w:r>
          <w:rPr>
            <w:rStyle w:val="Hyperlink"/>
          </w:rPr>
          <w:t xml:space="preserve">Rovine &amp; Molenaar, 2000</w:t>
        </w:r>
      </w:hyperlink>
      <w:r>
        <w:t xml:space="preserve">)</w:t>
      </w:r>
      <w:r>
        <w:t xml:space="preserve"> </w:t>
      </w:r>
      <w:r>
        <w:t xml:space="preserve">could provide further insight.</w:t>
      </w:r>
    </w:p>
    <w:bookmarkEnd w:id="71"/>
    <w:bookmarkStart w:id="72" w:name="conclusion"/>
    <w:p>
      <w:pPr>
        <w:pStyle w:val="Heading2"/>
      </w:pPr>
      <w:r>
        <w:t xml:space="preserve">Conclusion</w:t>
      </w:r>
    </w:p>
    <w:p>
      <w:pPr>
        <w:pStyle w:val="FirstParagraph"/>
      </w:pPr>
      <w:r>
        <w:t xml:space="preserve">This report is a first step towards understanding the implications of endogenous covariates in multilevel linear models. However, to recognize and understand completely when and why endogenous covariates may trouble an empirical investigation, further research is needed.</w:t>
      </w:r>
    </w:p>
    <w:p>
      <w:r>
        <w:br w:type="page"/>
      </w:r>
    </w:p>
    <w:bookmarkEnd w:id="72"/>
    <w:bookmarkEnd w:id="73"/>
    <w:bookmarkStart w:id="135" w:name="references"/>
    <w:p>
      <w:pPr>
        <w:pStyle w:val="Heading1"/>
      </w:pPr>
      <w:r>
        <w:t xml:space="preserve">References</w:t>
      </w:r>
    </w:p>
    <w:bookmarkStart w:id="134" w:name="refs"/>
    <w:bookmarkStart w:id="75" w:name="ref-antonakis2021"/>
    <w:p>
      <w:pPr>
        <w:pStyle w:val="Bibliography"/>
      </w:pPr>
      <w:r>
        <w:t xml:space="preserve">Antonakis, J., Bastardoz, N., &amp; Rönkkö, M. (2021). On ignoring the random effects assumption in multilevel models: Review, critique, and recommendations.</w:t>
      </w:r>
      <w:r>
        <w:t xml:space="preserve"> </w:t>
      </w:r>
      <w:r>
        <w:rPr>
          <w:i/>
          <w:iCs/>
        </w:rPr>
        <w:t xml:space="preserve">Organizational Research Methods</w:t>
      </w:r>
      <w:r>
        <w:t xml:space="preserve">,</w:t>
      </w:r>
      <w:r>
        <w:t xml:space="preserve"> </w:t>
      </w:r>
      <w:r>
        <w:rPr>
          <w:i/>
          <w:iCs/>
        </w:rPr>
        <w:t xml:space="preserve">24</w:t>
      </w:r>
      <w:r>
        <w:t xml:space="preserve">(2), 443–483.</w:t>
      </w:r>
      <w:r>
        <w:t xml:space="preserve"> </w:t>
      </w:r>
      <w:hyperlink r:id="rId74">
        <w:r>
          <w:rPr>
            <w:rStyle w:val="Hyperlink"/>
          </w:rPr>
          <w:t xml:space="preserve">https://doi.org/10.1177/1094428119877457</w:t>
        </w:r>
      </w:hyperlink>
    </w:p>
    <w:bookmarkEnd w:id="75"/>
    <w:bookmarkStart w:id="77" w:name="ref-attia2022"/>
    <w:p>
      <w:pPr>
        <w:pStyle w:val="Bibliography"/>
      </w:pPr>
      <w:r>
        <w:t xml:space="preserve">Attia, J., Holliday, E., &amp; Oldmeadow, C. (2022). A proposal for capturing interaction and effect modification using DAGs.</w:t>
      </w:r>
      <w:r>
        <w:t xml:space="preserve"> </w:t>
      </w:r>
      <w:r>
        <w:rPr>
          <w:i/>
          <w:iCs/>
        </w:rPr>
        <w:t xml:space="preserve">International Journal of Epidemiology</w:t>
      </w:r>
      <w:r>
        <w:t xml:space="preserve">,</w:t>
      </w:r>
      <w:r>
        <w:t xml:space="preserve"> </w:t>
      </w:r>
      <w:r>
        <w:rPr>
          <w:i/>
          <w:iCs/>
        </w:rPr>
        <w:t xml:space="preserve">51</w:t>
      </w:r>
      <w:r>
        <w:t xml:space="preserve">(4), 1047–1053.</w:t>
      </w:r>
      <w:r>
        <w:t xml:space="preserve"> </w:t>
      </w:r>
      <w:hyperlink r:id="rId76">
        <w:r>
          <w:rPr>
            <w:rStyle w:val="Hyperlink"/>
          </w:rPr>
          <w:t xml:space="preserve">https://doi.org/10.1093/ije/dyac126</w:t>
        </w:r>
      </w:hyperlink>
    </w:p>
    <w:bookmarkEnd w:id="77"/>
    <w:bookmarkStart w:id="79" w:name="ref-bates201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78">
        <w:r>
          <w:rPr>
            <w:rStyle w:val="Hyperlink"/>
          </w:rPr>
          <w:t xml:space="preserve">https://doi.org/10.18637/jss.v067.i01</w:t>
        </w:r>
      </w:hyperlink>
    </w:p>
    <w:bookmarkEnd w:id="79"/>
    <w:bookmarkStart w:id="81" w:name="ref-bauer2011"/>
    <w:p>
      <w:pPr>
        <w:pStyle w:val="Bibliography"/>
      </w:pPr>
      <w:r>
        <w:t xml:space="preserve">Bauer, D. J., &amp; Sterba, S. K. (2011). Fitting multilevel models with ordinal outcomes: Performance of alternative specifications and methods of estimation.</w:t>
      </w:r>
      <w:r>
        <w:t xml:space="preserve"> </w:t>
      </w:r>
      <w:r>
        <w:rPr>
          <w:i/>
          <w:iCs/>
        </w:rPr>
        <w:t xml:space="preserve">Psychological Methods</w:t>
      </w:r>
      <w:r>
        <w:t xml:space="preserve">,</w:t>
      </w:r>
      <w:r>
        <w:t xml:space="preserve"> </w:t>
      </w:r>
      <w:r>
        <w:rPr>
          <w:i/>
          <w:iCs/>
        </w:rPr>
        <w:t xml:space="preserve">16</w:t>
      </w:r>
      <w:r>
        <w:t xml:space="preserve">(4), 373–390.</w:t>
      </w:r>
      <w:r>
        <w:t xml:space="preserve"> </w:t>
      </w:r>
      <w:hyperlink r:id="rId80">
        <w:r>
          <w:rPr>
            <w:rStyle w:val="Hyperlink"/>
          </w:rPr>
          <w:t xml:space="preserve">https://doi.org/10.1037/a0025813</w:t>
        </w:r>
      </w:hyperlink>
    </w:p>
    <w:bookmarkEnd w:id="81"/>
    <w:bookmarkStart w:id="83" w:name="ref-bell2015"/>
    <w:p>
      <w:pPr>
        <w:pStyle w:val="Bibliography"/>
      </w:pPr>
      <w:r>
        <w:t xml:space="preserve">Bell, A., &amp; Jones, K. (2015). Explaining Fixed Effects: Random Effects Modeling of Time-Series Cross-Sectional and Panel Data.</w:t>
      </w:r>
      <w:r>
        <w:t xml:space="preserve"> </w:t>
      </w:r>
      <w:r>
        <w:rPr>
          <w:i/>
          <w:iCs/>
        </w:rPr>
        <w:t xml:space="preserve">Political Science Research and Methods</w:t>
      </w:r>
      <w:r>
        <w:t xml:space="preserve">,</w:t>
      </w:r>
      <w:r>
        <w:t xml:space="preserve"> </w:t>
      </w:r>
      <w:r>
        <w:rPr>
          <w:i/>
          <w:iCs/>
        </w:rPr>
        <w:t xml:space="preserve">3</w:t>
      </w:r>
      <w:r>
        <w:t xml:space="preserve">(1), 133–153.</w:t>
      </w:r>
      <w:r>
        <w:t xml:space="preserve"> </w:t>
      </w:r>
      <w:hyperlink r:id="rId82">
        <w:r>
          <w:rPr>
            <w:rStyle w:val="Hyperlink"/>
          </w:rPr>
          <w:t xml:space="preserve">https://doi.org/10.1017/psrm.2014.7</w:t>
        </w:r>
      </w:hyperlink>
    </w:p>
    <w:bookmarkEnd w:id="83"/>
    <w:bookmarkStart w:id="85" w:name="ref-boruvka2018"/>
    <w:p>
      <w:pPr>
        <w:pStyle w:val="Bibliography"/>
      </w:pPr>
      <w:r>
        <w:t xml:space="preserve">Boruvka, A., Almirall, D., Witkiewitz, K., &amp; Murphy, S. A. (2018). Assessing time-varying causal effect moderation in mobile health.</w:t>
      </w:r>
      <w:r>
        <w:t xml:space="preserve"> </w:t>
      </w:r>
      <w:r>
        <w:rPr>
          <w:i/>
          <w:iCs/>
        </w:rPr>
        <w:t xml:space="preserve">Journal of the American Statistical Association</w:t>
      </w:r>
      <w:r>
        <w:t xml:space="preserve">,</w:t>
      </w:r>
      <w:r>
        <w:t xml:space="preserve"> </w:t>
      </w:r>
      <w:r>
        <w:rPr>
          <w:i/>
          <w:iCs/>
        </w:rPr>
        <w:t xml:space="preserve">113</w:t>
      </w:r>
      <w:r>
        <w:t xml:space="preserve">(523), 1112–1121.</w:t>
      </w:r>
      <w:r>
        <w:t xml:space="preserve"> </w:t>
      </w:r>
      <w:hyperlink r:id="rId84">
        <w:r>
          <w:rPr>
            <w:rStyle w:val="Hyperlink"/>
          </w:rPr>
          <w:t xml:space="preserve">https://doi.org/10.1080/01621459.2017.1305274</w:t>
        </w:r>
      </w:hyperlink>
    </w:p>
    <w:bookmarkEnd w:id="85"/>
    <w:bookmarkStart w:id="87" w:name="ref-daniel2013"/>
    <w:p>
      <w:pPr>
        <w:pStyle w:val="Bibliography"/>
      </w:pPr>
      <w:r>
        <w:t xml:space="preserve">Daniel, R. m., Cousens, S. n., De Stavola, B. l., Kenward, M. G., &amp; Sterne, J. a. C. (2013). Methods for dealing with time-dependent confounding.</w:t>
      </w:r>
      <w:r>
        <w:t xml:space="preserve"> </w:t>
      </w:r>
      <w:r>
        <w:rPr>
          <w:i/>
          <w:iCs/>
        </w:rPr>
        <w:t xml:space="preserve">Statistics in Medicine</w:t>
      </w:r>
      <w:r>
        <w:t xml:space="preserve">,</w:t>
      </w:r>
      <w:r>
        <w:t xml:space="preserve"> </w:t>
      </w:r>
      <w:r>
        <w:rPr>
          <w:i/>
          <w:iCs/>
        </w:rPr>
        <w:t xml:space="preserve">32</w:t>
      </w:r>
      <w:r>
        <w:t xml:space="preserve">(9), 1584–1618.</w:t>
      </w:r>
      <w:r>
        <w:t xml:space="preserve"> </w:t>
      </w:r>
      <w:hyperlink r:id="rId86">
        <w:r>
          <w:rPr>
            <w:rStyle w:val="Hyperlink"/>
          </w:rPr>
          <w:t xml:space="preserve">https://doi.org/10.1002/sim.5686</w:t>
        </w:r>
      </w:hyperlink>
    </w:p>
    <w:bookmarkEnd w:id="87"/>
    <w:bookmarkStart w:id="89" w:name="ref-duncan1966"/>
    <w:p>
      <w:pPr>
        <w:pStyle w:val="Bibliography"/>
      </w:pPr>
      <w:r>
        <w:t xml:space="preserve">Duncan, O. D. (1966). Path analysis: Sociological examples.</w:t>
      </w:r>
      <w:r>
        <w:t xml:space="preserve"> </w:t>
      </w:r>
      <w:r>
        <w:rPr>
          <w:i/>
          <w:iCs/>
        </w:rPr>
        <w:t xml:space="preserve">American Journal of Sociology</w:t>
      </w:r>
      <w:r>
        <w:t xml:space="preserve">,</w:t>
      </w:r>
      <w:r>
        <w:t xml:space="preserve"> </w:t>
      </w:r>
      <w:r>
        <w:rPr>
          <w:i/>
          <w:iCs/>
        </w:rPr>
        <w:t xml:space="preserve">72</w:t>
      </w:r>
      <w:r>
        <w:t xml:space="preserve">(1), 1–16.</w:t>
      </w:r>
      <w:r>
        <w:t xml:space="preserve"> </w:t>
      </w:r>
      <w:hyperlink r:id="rId88">
        <w:r>
          <w:rPr>
            <w:rStyle w:val="Hyperlink"/>
          </w:rPr>
          <w:t xml:space="preserve">https://doi.org/10.1086/224256</w:t>
        </w:r>
      </w:hyperlink>
    </w:p>
    <w:bookmarkEnd w:id="89"/>
    <w:bookmarkStart w:id="91" w:name="ref-elwert2014"/>
    <w:p>
      <w:pPr>
        <w:pStyle w:val="Bibliography"/>
      </w:pPr>
      <w:r>
        <w:t xml:space="preserve">Elwert, F., &amp; Winship, C. (2014). Endogenous selection bias: The problem of conditioning on a collider variable.</w:t>
      </w:r>
      <w:r>
        <w:t xml:space="preserve"> </w:t>
      </w:r>
      <w:r>
        <w:rPr>
          <w:i/>
          <w:iCs/>
        </w:rPr>
        <w:t xml:space="preserve">Annual Review of Sociology</w:t>
      </w:r>
      <w:r>
        <w:t xml:space="preserve">,</w:t>
      </w:r>
      <w:r>
        <w:t xml:space="preserve"> </w:t>
      </w:r>
      <w:r>
        <w:rPr>
          <w:i/>
          <w:iCs/>
        </w:rPr>
        <w:t xml:space="preserve">40</w:t>
      </w:r>
      <w:r>
        <w:t xml:space="preserve">, 31–53.</w:t>
      </w:r>
      <w:r>
        <w:t xml:space="preserve"> </w:t>
      </w:r>
      <w:hyperlink r:id="rId90">
        <w:r>
          <w:rPr>
            <w:rStyle w:val="Hyperlink"/>
          </w:rPr>
          <w:t xml:space="preserve">https://doi.org/10.1146/annurev-soc-071913-043455</w:t>
        </w:r>
      </w:hyperlink>
    </w:p>
    <w:bookmarkEnd w:id="91"/>
    <w:bookmarkStart w:id="93" w:name="ref-Erler2019"/>
    <w:p>
      <w:pPr>
        <w:pStyle w:val="Bibliography"/>
      </w:pPr>
      <w:r>
        <w:t xml:space="preserve">Erler, N. S., Rizopoulos, D., Jaddoe, V. W., Franco, O. H., &amp; Lesaffre, E. M. (2019). Bayesian imputation of time-varying covariates in linear mixed models.</w:t>
      </w:r>
      <w:r>
        <w:t xml:space="preserve"> </w:t>
      </w:r>
      <w:r>
        <w:rPr>
          <w:i/>
          <w:iCs/>
        </w:rPr>
        <w:t xml:space="preserve">Statistical Methods in Medical Research</w:t>
      </w:r>
      <w:r>
        <w:t xml:space="preserve">,</w:t>
      </w:r>
      <w:r>
        <w:t xml:space="preserve"> </w:t>
      </w:r>
      <w:r>
        <w:rPr>
          <w:i/>
          <w:iCs/>
        </w:rPr>
        <w:t xml:space="preserve">28</w:t>
      </w:r>
      <w:r>
        <w:t xml:space="preserve">(2), 555–568.</w:t>
      </w:r>
      <w:r>
        <w:t xml:space="preserve"> </w:t>
      </w:r>
      <w:hyperlink r:id="rId92">
        <w:r>
          <w:rPr>
            <w:rStyle w:val="Hyperlink"/>
          </w:rPr>
          <w:t xml:space="preserve">https://doi.org/10.1177/0962280217730851</w:t>
        </w:r>
      </w:hyperlink>
    </w:p>
    <w:bookmarkEnd w:id="93"/>
    <w:bookmarkStart w:id="95" w:name="ref-hamaker2020"/>
    <w:p>
      <w:pPr>
        <w:pStyle w:val="Bibliography"/>
      </w:pPr>
      <w:r>
        <w:t xml:space="preserve">Hamaker, E. L., &amp; Muthén, B. (2020). The fixed versus random effects debate and how it relates to centering in multilevel modeling.</w:t>
      </w:r>
      <w:r>
        <w:t xml:space="preserve"> </w:t>
      </w:r>
      <w:r>
        <w:rPr>
          <w:i/>
          <w:iCs/>
        </w:rPr>
        <w:t xml:space="preserve">Psychological Methods</w:t>
      </w:r>
      <w:r>
        <w:t xml:space="preserve">,</w:t>
      </w:r>
      <w:r>
        <w:t xml:space="preserve"> </w:t>
      </w:r>
      <w:r>
        <w:rPr>
          <w:i/>
          <w:iCs/>
        </w:rPr>
        <w:t xml:space="preserve">25</w:t>
      </w:r>
      <w:r>
        <w:t xml:space="preserve">(3), 365–379.</w:t>
      </w:r>
      <w:r>
        <w:t xml:space="preserve"> </w:t>
      </w:r>
      <w:hyperlink r:id="rId94">
        <w:r>
          <w:rPr>
            <w:rStyle w:val="Hyperlink"/>
          </w:rPr>
          <w:t xml:space="preserve">https://doi.org/10.1037/met0000239</w:t>
        </w:r>
      </w:hyperlink>
    </w:p>
    <w:bookmarkEnd w:id="95"/>
    <w:bookmarkStart w:id="97" w:name="ref-hayduk2003"/>
    <w:p>
      <w:pPr>
        <w:pStyle w:val="Bibliography"/>
      </w:pPr>
      <w:r>
        <w:t xml:space="preserve">Hayduk, L., Cummings, G., Stratkotter, R., Nimmo, M., Grygoryev, K., Dosman, D., Gillespie, M., Pazderka-Robinson, H., &amp; Boadu, K. (2003). Pearl’s d-separation: One more step into causal thinking.</w:t>
      </w:r>
      <w:r>
        <w:t xml:space="preserve"> </w:t>
      </w:r>
      <w:r>
        <w:rPr>
          <w:i/>
          <w:iCs/>
        </w:rPr>
        <w:t xml:space="preserve">Structural Equation Modeling: A Multidisciplinary Journal</w:t>
      </w:r>
      <w:r>
        <w:t xml:space="preserve">,</w:t>
      </w:r>
      <w:r>
        <w:t xml:space="preserve"> </w:t>
      </w:r>
      <w:r>
        <w:rPr>
          <w:i/>
          <w:iCs/>
        </w:rPr>
        <w:t xml:space="preserve">10</w:t>
      </w:r>
      <w:r>
        <w:t xml:space="preserve">(2), 289–311.</w:t>
      </w:r>
      <w:r>
        <w:t xml:space="preserve"> </w:t>
      </w:r>
      <w:hyperlink r:id="rId96">
        <w:r>
          <w:rPr>
            <w:rStyle w:val="Hyperlink"/>
          </w:rPr>
          <w:t xml:space="preserve">https://doi.org/10.1207/S15328007SEM1002_8</w:t>
        </w:r>
      </w:hyperlink>
    </w:p>
    <w:bookmarkEnd w:id="97"/>
    <w:bookmarkStart w:id="99" w:name="ref-Kim2021a"/>
    <w:p>
      <w:pPr>
        <w:pStyle w:val="Bibliography"/>
      </w:pPr>
      <w:r>
        <w:t xml:space="preserve">Kim, Y., &amp; Steiner, P. M. (2021). Causal graphical views of fixed effects and random effects models.</w:t>
      </w:r>
      <w:r>
        <w:t xml:space="preserve"> </w:t>
      </w:r>
      <w:r>
        <w:rPr>
          <w:i/>
          <w:iCs/>
        </w:rPr>
        <w:t xml:space="preserve">British Journal of Mathematical and Statistical Psychology</w:t>
      </w:r>
      <w:r>
        <w:t xml:space="preserve">,</w:t>
      </w:r>
      <w:r>
        <w:t xml:space="preserve"> </w:t>
      </w:r>
      <w:r>
        <w:rPr>
          <w:i/>
          <w:iCs/>
        </w:rPr>
        <w:t xml:space="preserve">74</w:t>
      </w:r>
      <w:r>
        <w:t xml:space="preserve">(2), 165–183.</w:t>
      </w:r>
      <w:r>
        <w:t xml:space="preserve"> </w:t>
      </w:r>
      <w:hyperlink r:id="rId98">
        <w:r>
          <w:rPr>
            <w:rStyle w:val="Hyperlink"/>
          </w:rPr>
          <w:t xml:space="preserve">https://doi.org/10.1111/bmsp.12217</w:t>
        </w:r>
      </w:hyperlink>
    </w:p>
    <w:bookmarkEnd w:id="99"/>
    <w:bookmarkStart w:id="101" w:name="ref-morris2019"/>
    <w:p>
      <w:pPr>
        <w:pStyle w:val="Bibliography"/>
      </w:pPr>
      <w:r>
        <w:t xml:space="preserve">Morris, T. P., White, I. R., &amp; Crowther, M. J. (2019). Using simulation studies to evaluate statistical methods.</w:t>
      </w:r>
      <w:r>
        <w:t xml:space="preserve"> </w:t>
      </w:r>
      <w:r>
        <w:rPr>
          <w:i/>
          <w:iCs/>
        </w:rPr>
        <w:t xml:space="preserve">Statistics in Medicine</w:t>
      </w:r>
      <w:r>
        <w:t xml:space="preserve">,</w:t>
      </w:r>
      <w:r>
        <w:t xml:space="preserve"> </w:t>
      </w:r>
      <w:r>
        <w:rPr>
          <w:i/>
          <w:iCs/>
        </w:rPr>
        <w:t xml:space="preserve">38</w:t>
      </w:r>
      <w:r>
        <w:t xml:space="preserve">(11), 2074–2102.</w:t>
      </w:r>
      <w:r>
        <w:t xml:space="preserve"> </w:t>
      </w:r>
      <w:hyperlink r:id="rId100">
        <w:r>
          <w:rPr>
            <w:rStyle w:val="Hyperlink"/>
          </w:rPr>
          <w:t xml:space="preserve">https://doi.org/10.1002/sim.8086</w:t>
        </w:r>
      </w:hyperlink>
    </w:p>
    <w:bookmarkEnd w:id="101"/>
    <w:bookmarkStart w:id="103" w:name="ref-mundlak1978"/>
    <w:p>
      <w:pPr>
        <w:pStyle w:val="Bibliography"/>
      </w:pPr>
      <w:r>
        <w:t xml:space="preserve">Mundlak, Y. (1978). On the pooling of time series and cross section data.</w:t>
      </w:r>
      <w:r>
        <w:t xml:space="preserve"> </w:t>
      </w:r>
      <w:r>
        <w:rPr>
          <w:i/>
          <w:iCs/>
        </w:rPr>
        <w:t xml:space="preserve">Econometrica</w:t>
      </w:r>
      <w:r>
        <w:t xml:space="preserve">,</w:t>
      </w:r>
      <w:r>
        <w:t xml:space="preserve"> </w:t>
      </w:r>
      <w:r>
        <w:rPr>
          <w:i/>
          <w:iCs/>
        </w:rPr>
        <w:t xml:space="preserve">46</w:t>
      </w:r>
      <w:r>
        <w:t xml:space="preserve">(1), 69–85.</w:t>
      </w:r>
      <w:r>
        <w:t xml:space="preserve"> </w:t>
      </w:r>
      <w:hyperlink r:id="rId102">
        <w:r>
          <w:rPr>
            <w:rStyle w:val="Hyperlink"/>
          </w:rPr>
          <w:t xml:space="preserve">https://doi.org/10.2307/1913646</w:t>
        </w:r>
      </w:hyperlink>
    </w:p>
    <w:bookmarkEnd w:id="103"/>
    <w:bookmarkStart w:id="105" w:name="ref-nahum-shani2021"/>
    <w:p>
      <w:pPr>
        <w:pStyle w:val="Bibliography"/>
      </w:pPr>
      <w:r>
        <w:t xml:space="preserve">Nahum-Shani, I., Potter, L. N., Lam, C. Y., Yap, J., Moreno, A., Stoffel, R., Wu, Z., Wan, N., Dempsey, W., Kumar, S., &amp; al., et. (2021). The mobile assistance for regulating smoking (MARS) micro-randomized trial design protocol.</w:t>
      </w:r>
      <w:r>
        <w:t xml:space="preserve"> </w:t>
      </w:r>
      <w:r>
        <w:rPr>
          <w:i/>
          <w:iCs/>
        </w:rPr>
        <w:t xml:space="preserve">Contemporary Clinical Trials</w:t>
      </w:r>
      <w:r>
        <w:t xml:space="preserve">,</w:t>
      </w:r>
      <w:r>
        <w:t xml:space="preserve"> </w:t>
      </w:r>
      <w:r>
        <w:rPr>
          <w:i/>
          <w:iCs/>
        </w:rPr>
        <w:t xml:space="preserve">110</w:t>
      </w:r>
      <w:r>
        <w:t xml:space="preserve">, 106513.</w:t>
      </w:r>
      <w:r>
        <w:t xml:space="preserve"> </w:t>
      </w:r>
      <w:hyperlink r:id="rId104">
        <w:r>
          <w:rPr>
            <w:rStyle w:val="Hyperlink"/>
          </w:rPr>
          <w:t xml:space="preserve">https://doi.org/10.1016/j.cct.2021.106513</w:t>
        </w:r>
      </w:hyperlink>
    </w:p>
    <w:bookmarkEnd w:id="105"/>
    <w:bookmarkStart w:id="106" w:name="ref-pearl1988"/>
    <w:p>
      <w:pPr>
        <w:pStyle w:val="Bibliography"/>
      </w:pPr>
      <w:r>
        <w:t xml:space="preserve">Pearl, J. (1988).</w:t>
      </w:r>
      <w:r>
        <w:t xml:space="preserve"> </w:t>
      </w:r>
      <w:r>
        <w:rPr>
          <w:i/>
          <w:iCs/>
        </w:rPr>
        <w:t xml:space="preserve">Probabilistic Reasoning in Intelligent Systems: Networks of Plausible Inference</w:t>
      </w:r>
      <w:r>
        <w:t xml:space="preserve">. Morgan Kaufmann.</w:t>
      </w:r>
    </w:p>
    <w:bookmarkEnd w:id="106"/>
    <w:bookmarkStart w:id="108" w:name="ref-pearl1995"/>
    <w:p>
      <w:pPr>
        <w:pStyle w:val="Bibliography"/>
      </w:pPr>
      <w:r>
        <w:t xml:space="preserve">Pearl, J. (1995). Causal diagrams for empirical research.</w:t>
      </w:r>
      <w:r>
        <w:t xml:space="preserve"> </w:t>
      </w:r>
      <w:r>
        <w:rPr>
          <w:i/>
          <w:iCs/>
        </w:rPr>
        <w:t xml:space="preserve">Biometrika</w:t>
      </w:r>
      <w:r>
        <w:t xml:space="preserve">,</w:t>
      </w:r>
      <w:r>
        <w:t xml:space="preserve"> </w:t>
      </w:r>
      <w:r>
        <w:rPr>
          <w:i/>
          <w:iCs/>
        </w:rPr>
        <w:t xml:space="preserve">82</w:t>
      </w:r>
      <w:r>
        <w:t xml:space="preserve">(4), 669–688.</w:t>
      </w:r>
      <w:r>
        <w:t xml:space="preserve"> </w:t>
      </w:r>
      <w:hyperlink r:id="rId107">
        <w:r>
          <w:rPr>
            <w:rStyle w:val="Hyperlink"/>
          </w:rPr>
          <w:t xml:space="preserve">https://doi.org/10.1093/biomet/82.4.669</w:t>
        </w:r>
      </w:hyperlink>
    </w:p>
    <w:bookmarkEnd w:id="108"/>
    <w:bookmarkStart w:id="109" w:name="ref-pearl2009"/>
    <w:p>
      <w:pPr>
        <w:pStyle w:val="Bibliography"/>
      </w:pPr>
      <w:r>
        <w:t xml:space="preserve">Pearl, J. (2009).</w:t>
      </w:r>
      <w:r>
        <w:t xml:space="preserve"> </w:t>
      </w:r>
      <w:r>
        <w:rPr>
          <w:i/>
          <w:iCs/>
        </w:rPr>
        <w:t xml:space="preserve">Causality: Models, reasoning, and inference</w:t>
      </w:r>
      <w:r>
        <w:t xml:space="preserve"> </w:t>
      </w:r>
      <w:r>
        <w:t xml:space="preserve">(2nd ed.). Cambridge University Press.</w:t>
      </w:r>
    </w:p>
    <w:bookmarkEnd w:id="109"/>
    <w:bookmarkStart w:id="111" w:name="ref-pepe1994"/>
    <w:p>
      <w:pPr>
        <w:pStyle w:val="Bibliography"/>
      </w:pPr>
      <w:r>
        <w:t xml:space="preserve">Pepe, M. S., &amp; Anderson, G. L. (1994). A cautionary note on inference for marginal regression models with longitudinal data and general correlated response data.</w:t>
      </w:r>
      <w:r>
        <w:t xml:space="preserve"> </w:t>
      </w:r>
      <w:r>
        <w:rPr>
          <w:i/>
          <w:iCs/>
        </w:rPr>
        <w:t xml:space="preserve">Communications in Statistics - Simulation and Computation</w:t>
      </w:r>
      <w:r>
        <w:t xml:space="preserve">,</w:t>
      </w:r>
      <w:r>
        <w:t xml:space="preserve"> </w:t>
      </w:r>
      <w:r>
        <w:rPr>
          <w:i/>
          <w:iCs/>
        </w:rPr>
        <w:t xml:space="preserve">23</w:t>
      </w:r>
      <w:r>
        <w:t xml:space="preserve">(4), 939–951.</w:t>
      </w:r>
      <w:r>
        <w:t xml:space="preserve"> </w:t>
      </w:r>
      <w:hyperlink r:id="rId110">
        <w:r>
          <w:rPr>
            <w:rStyle w:val="Hyperlink"/>
          </w:rPr>
          <w:t xml:space="preserve">https://doi.org/10.1080/03610919408813210</w:t>
        </w:r>
      </w:hyperlink>
    </w:p>
    <w:bookmarkEnd w:id="111"/>
    <w:bookmarkStart w:id="113" w:name="ref-qian2020"/>
    <w:p>
      <w:pPr>
        <w:pStyle w:val="Bibliography"/>
      </w:pPr>
      <w:r>
        <w:t xml:space="preserve">Qian, T., Klasnja, P., &amp; Murphy, S. A. (2020). Linear mixed models with endogenous covariates: Modeling sequential treatment effects with application to a mobile health study.</w:t>
      </w:r>
      <w:r>
        <w:t xml:space="preserve"> </w:t>
      </w:r>
      <w:r>
        <w:rPr>
          <w:i/>
          <w:iCs/>
        </w:rPr>
        <w:t xml:space="preserve">Statistical Science : A Review Journal of the Institute of Mathematical Statistics</w:t>
      </w:r>
      <w:r>
        <w:t xml:space="preserve">,</w:t>
      </w:r>
      <w:r>
        <w:t xml:space="preserve"> </w:t>
      </w:r>
      <w:r>
        <w:rPr>
          <w:i/>
          <w:iCs/>
        </w:rPr>
        <w:t xml:space="preserve">35</w:t>
      </w:r>
      <w:r>
        <w:t xml:space="preserve">(3), 375–390.</w:t>
      </w:r>
      <w:r>
        <w:t xml:space="preserve"> </w:t>
      </w:r>
      <w:hyperlink r:id="rId112">
        <w:r>
          <w:rPr>
            <w:rStyle w:val="Hyperlink"/>
          </w:rPr>
          <w:t xml:space="preserve">https://doi.org/10.1214/19-sts720</w:t>
        </w:r>
      </w:hyperlink>
    </w:p>
    <w:bookmarkEnd w:id="113"/>
    <w:bookmarkStart w:id="114" w:name="ref-raudenbush2002"/>
    <w:p>
      <w:pPr>
        <w:pStyle w:val="Bibliography"/>
      </w:pPr>
      <w:r>
        <w:t xml:space="preserve">Raudenbush, S. W., &amp; Bryk, A. S. (2002).</w:t>
      </w:r>
      <w:r>
        <w:t xml:space="preserve"> </w:t>
      </w:r>
      <w:r>
        <w:rPr>
          <w:i/>
          <w:iCs/>
        </w:rPr>
        <w:t xml:space="preserve">Hierarchical Linear Models: Applications and Data Analysis Methods</w:t>
      </w:r>
      <w:r>
        <w:t xml:space="preserve"> </w:t>
      </w:r>
      <w:r>
        <w:t xml:space="preserve">(2nd ed.). SAGE.</w:t>
      </w:r>
    </w:p>
    <w:bookmarkEnd w:id="114"/>
    <w:bookmarkStart w:id="116" w:name="ref-Robins2000"/>
    <w:p>
      <w:pPr>
        <w:pStyle w:val="Bibliography"/>
      </w:pPr>
      <w:r>
        <w:t xml:space="preserve">Robins, J. M., Hernán, M. Á., &amp; Brumback, B. (2000). Marginal structural models and causal inference in epidemiology.</w:t>
      </w:r>
      <w:r>
        <w:t xml:space="preserve"> </w:t>
      </w:r>
      <w:r>
        <w:rPr>
          <w:i/>
          <w:iCs/>
        </w:rPr>
        <w:t xml:space="preserve">Epidemiology</w:t>
      </w:r>
      <w:r>
        <w:t xml:space="preserve">,</w:t>
      </w:r>
      <w:r>
        <w:t xml:space="preserve"> </w:t>
      </w:r>
      <w:r>
        <w:rPr>
          <w:i/>
          <w:iCs/>
        </w:rPr>
        <w:t xml:space="preserve">11</w:t>
      </w:r>
      <w:r>
        <w:t xml:space="preserve">(5), 550.</w:t>
      </w:r>
      <w:r>
        <w:t xml:space="preserve"> </w:t>
      </w:r>
      <w:hyperlink r:id="rId115">
        <w:r>
          <w:rPr>
            <w:rStyle w:val="Hyperlink"/>
          </w:rPr>
          <w:t xml:space="preserve">https://journals.lww.com/epidem/fulltext/2000/09000/marginal_structural_models_and_causal_inference_in.11.aspx</w:t>
        </w:r>
      </w:hyperlink>
    </w:p>
    <w:bookmarkEnd w:id="116"/>
    <w:bookmarkStart w:id="118" w:name="ref-rovine2000"/>
    <w:p>
      <w:pPr>
        <w:pStyle w:val="Bibliography"/>
      </w:pPr>
      <w:r>
        <w:t xml:space="preserve">Rovine, M. J., &amp; Molenaar, P. C. M. (2000). A structural modeling approach to a multilevel random coefficients model.</w:t>
      </w:r>
      <w:r>
        <w:t xml:space="preserve"> </w:t>
      </w:r>
      <w:r>
        <w:rPr>
          <w:i/>
          <w:iCs/>
        </w:rPr>
        <w:t xml:space="preserve">Multivariate Behavioral Research</w:t>
      </w:r>
      <w:r>
        <w:t xml:space="preserve">,</w:t>
      </w:r>
      <w:r>
        <w:t xml:space="preserve"> </w:t>
      </w:r>
      <w:r>
        <w:rPr>
          <w:i/>
          <w:iCs/>
        </w:rPr>
        <w:t xml:space="preserve">35</w:t>
      </w:r>
      <w:r>
        <w:t xml:space="preserve">(1), 51–88.</w:t>
      </w:r>
      <w:r>
        <w:t xml:space="preserve"> </w:t>
      </w:r>
      <w:hyperlink r:id="rId117">
        <w:r>
          <w:rPr>
            <w:rStyle w:val="Hyperlink"/>
          </w:rPr>
          <w:t xml:space="preserve">https://doi.org/10.1207/S15327906MBR3501_3</w:t>
        </w:r>
      </w:hyperlink>
    </w:p>
    <w:bookmarkEnd w:id="118"/>
    <w:bookmarkStart w:id="120" w:name="ref-sitlani2012"/>
    <w:p>
      <w:pPr>
        <w:pStyle w:val="Bibliography"/>
      </w:pPr>
      <w:r>
        <w:t xml:space="preserve">Sitlani, C. M., Heagerty, P. J., Blood, E. A., &amp; Tosteson, T. D. (2012). Longitudinal structural mixed models for the analysis of surgical trials with noncompliance.</w:t>
      </w:r>
      <w:r>
        <w:t xml:space="preserve"> </w:t>
      </w:r>
      <w:r>
        <w:rPr>
          <w:i/>
          <w:iCs/>
        </w:rPr>
        <w:t xml:space="preserve">Statistics in Medicine</w:t>
      </w:r>
      <w:r>
        <w:t xml:space="preserve">,</w:t>
      </w:r>
      <w:r>
        <w:t xml:space="preserve"> </w:t>
      </w:r>
      <w:r>
        <w:rPr>
          <w:i/>
          <w:iCs/>
        </w:rPr>
        <w:t xml:space="preserve">31</w:t>
      </w:r>
      <w:r>
        <w:t xml:space="preserve">(16), 1738–1760.</w:t>
      </w:r>
      <w:r>
        <w:t xml:space="preserve"> </w:t>
      </w:r>
      <w:hyperlink r:id="rId119">
        <w:r>
          <w:rPr>
            <w:rStyle w:val="Hyperlink"/>
          </w:rPr>
          <w:t xml:space="preserve">https://doi.org/10.1002/sim.4510</w:t>
        </w:r>
      </w:hyperlink>
    </w:p>
    <w:bookmarkEnd w:id="120"/>
    <w:bookmarkStart w:id="122" w:name="ref-rcoreteam2024"/>
    <w:p>
      <w:pPr>
        <w:pStyle w:val="Bibliography"/>
      </w:pPr>
      <w:r>
        <w:t xml:space="preserve">Team, R. C. (2024).</w:t>
      </w:r>
      <w:r>
        <w:t xml:space="preserve"> </w:t>
      </w:r>
      <w:r>
        <w:rPr>
          <w:i/>
          <w:iCs/>
        </w:rPr>
        <w:t xml:space="preserve">R: A language and environment for statistical computing</w:t>
      </w:r>
      <w:r>
        <w:t xml:space="preserve">. R Foundation for Statistical Computing.</w:t>
      </w:r>
      <w:r>
        <w:t xml:space="preserve"> </w:t>
      </w:r>
      <w:hyperlink r:id="rId121">
        <w:r>
          <w:rPr>
            <w:rStyle w:val="Hyperlink"/>
          </w:rPr>
          <w:t xml:space="preserve">https://www.R-project.org/</w:t>
        </w:r>
      </w:hyperlink>
    </w:p>
    <w:bookmarkEnd w:id="122"/>
    <w:bookmarkStart w:id="124" w:name="ref-vanderweele2009"/>
    <w:p>
      <w:pPr>
        <w:pStyle w:val="Bibliography"/>
      </w:pPr>
      <w:r>
        <w:t xml:space="preserve">VanderWeele, T. J. (2009). On the distinction between interaction and effect modification.</w:t>
      </w:r>
      <w:r>
        <w:t xml:space="preserve"> </w:t>
      </w:r>
      <w:r>
        <w:rPr>
          <w:i/>
          <w:iCs/>
        </w:rPr>
        <w:t xml:space="preserve">Epidemiology</w:t>
      </w:r>
      <w:r>
        <w:t xml:space="preserve">,</w:t>
      </w:r>
      <w:r>
        <w:t xml:space="preserve"> </w:t>
      </w:r>
      <w:r>
        <w:rPr>
          <w:i/>
          <w:iCs/>
        </w:rPr>
        <w:t xml:space="preserve">20</w:t>
      </w:r>
      <w:r>
        <w:t xml:space="preserve">(6), 863.</w:t>
      </w:r>
      <w:r>
        <w:t xml:space="preserve"> </w:t>
      </w:r>
      <w:hyperlink r:id="rId123">
        <w:r>
          <w:rPr>
            <w:rStyle w:val="Hyperlink"/>
          </w:rPr>
          <w:t xml:space="preserve">https://doi.org/10.1097/EDE.0b013e3181ba333c</w:t>
        </w:r>
      </w:hyperlink>
    </w:p>
    <w:bookmarkEnd w:id="124"/>
    <w:bookmarkStart w:id="126" w:name="ref-walton2018"/>
    <w:p>
      <w:pPr>
        <w:pStyle w:val="Bibliography"/>
      </w:pPr>
      <w:r>
        <w:t xml:space="preserve">Walton, A., Nahum-Shani, I., Crosby, L., Klasnja, P., &amp; Murphy, S. (2018). Optimizing digital integrated care via micro-randomized trials.</w:t>
      </w:r>
      <w:r>
        <w:t xml:space="preserve"> </w:t>
      </w:r>
      <w:r>
        <w:rPr>
          <w:i/>
          <w:iCs/>
        </w:rPr>
        <w:t xml:space="preserve">Clinical Pharmacology &amp; Therapeutics</w:t>
      </w:r>
      <w:r>
        <w:t xml:space="preserve">,</w:t>
      </w:r>
      <w:r>
        <w:t xml:space="preserve"> </w:t>
      </w:r>
      <w:r>
        <w:rPr>
          <w:i/>
          <w:iCs/>
        </w:rPr>
        <w:t xml:space="preserve">104</w:t>
      </w:r>
      <w:r>
        <w:t xml:space="preserve">(1), 53–58.</w:t>
      </w:r>
      <w:r>
        <w:t xml:space="preserve"> </w:t>
      </w:r>
      <w:hyperlink r:id="rId125">
        <w:r>
          <w:rPr>
            <w:rStyle w:val="Hyperlink"/>
          </w:rPr>
          <w:t xml:space="preserve">https://doi.org/10.1002/cpt.1079</w:t>
        </w:r>
      </w:hyperlink>
    </w:p>
    <w:bookmarkEnd w:id="126"/>
    <w:bookmarkStart w:id="128" w:name="ref-weinberg2007"/>
    <w:p>
      <w:pPr>
        <w:pStyle w:val="Bibliography"/>
      </w:pPr>
      <w:r>
        <w:t xml:space="preserve">Weinberg, C. R. (2007). Commentary: Can DAGs clarify effect modification?</w:t>
      </w:r>
      <w:r>
        <w:t xml:space="preserve"> </w:t>
      </w:r>
      <w:r>
        <w:rPr>
          <w:i/>
          <w:iCs/>
        </w:rPr>
        <w:t xml:space="preserve">Epidemiology</w:t>
      </w:r>
      <w:r>
        <w:t xml:space="preserve">,</w:t>
      </w:r>
      <w:r>
        <w:t xml:space="preserve"> </w:t>
      </w:r>
      <w:r>
        <w:rPr>
          <w:i/>
          <w:iCs/>
        </w:rPr>
        <w:t xml:space="preserve">18</w:t>
      </w:r>
      <w:r>
        <w:t xml:space="preserve">(5), 569–572.</w:t>
      </w:r>
      <w:r>
        <w:t xml:space="preserve"> </w:t>
      </w:r>
      <w:hyperlink r:id="rId127">
        <w:r>
          <w:rPr>
            <w:rStyle w:val="Hyperlink"/>
          </w:rPr>
          <w:t xml:space="preserve">https://www.jstor.org/stable/20486428</w:t>
        </w:r>
      </w:hyperlink>
    </w:p>
    <w:bookmarkEnd w:id="128"/>
    <w:bookmarkStart w:id="130" w:name="ref-Wodtke2020"/>
    <w:p>
      <w:pPr>
        <w:pStyle w:val="Bibliography"/>
      </w:pPr>
      <w:r>
        <w:t xml:space="preserve">Wodtke, G. T. (2020). Regression-based adjustment for time-varying confounders.</w:t>
      </w:r>
      <w:r>
        <w:t xml:space="preserve"> </w:t>
      </w:r>
      <w:r>
        <w:rPr>
          <w:i/>
          <w:iCs/>
        </w:rPr>
        <w:t xml:space="preserve">Sociological Methods &amp; Research</w:t>
      </w:r>
      <w:r>
        <w:t xml:space="preserve">,</w:t>
      </w:r>
      <w:r>
        <w:t xml:space="preserve"> </w:t>
      </w:r>
      <w:r>
        <w:rPr>
          <w:i/>
          <w:iCs/>
        </w:rPr>
        <w:t xml:space="preserve">49</w:t>
      </w:r>
      <w:r>
        <w:t xml:space="preserve">(4), 906–946.</w:t>
      </w:r>
      <w:r>
        <w:t xml:space="preserve"> </w:t>
      </w:r>
      <w:hyperlink r:id="rId129">
        <w:r>
          <w:rPr>
            <w:rStyle w:val="Hyperlink"/>
          </w:rPr>
          <w:t xml:space="preserve">https://doi.org/10.1177/0049124118769087</w:t>
        </w:r>
      </w:hyperlink>
    </w:p>
    <w:bookmarkEnd w:id="130"/>
    <w:bookmarkStart w:id="131" w:name="ref-wooldridge2002"/>
    <w:p>
      <w:pPr>
        <w:pStyle w:val="Bibliography"/>
      </w:pPr>
      <w:r>
        <w:t xml:space="preserve">Wooldridge, J. M. (2002).</w:t>
      </w:r>
      <w:r>
        <w:t xml:space="preserve"> </w:t>
      </w:r>
      <w:r>
        <w:rPr>
          <w:i/>
          <w:iCs/>
        </w:rPr>
        <w:t xml:space="preserve">Econometric analysis of cross section and panel data</w:t>
      </w:r>
      <w:r>
        <w:t xml:space="preserve">. MIT Press.</w:t>
      </w:r>
    </w:p>
    <w:bookmarkEnd w:id="131"/>
    <w:bookmarkStart w:id="133" w:name="ref-wright1934a"/>
    <w:p>
      <w:pPr>
        <w:pStyle w:val="Bibliography"/>
      </w:pPr>
      <w:r>
        <w:t xml:space="preserve">Wright, S. (1934). The method of path coefficients.</w:t>
      </w:r>
      <w:r>
        <w:t xml:space="preserve"> </w:t>
      </w:r>
      <w:r>
        <w:rPr>
          <w:i/>
          <w:iCs/>
        </w:rPr>
        <w:t xml:space="preserve">The Annals of Mathematical Statistics</w:t>
      </w:r>
      <w:r>
        <w:t xml:space="preserve">,</w:t>
      </w:r>
      <w:r>
        <w:t xml:space="preserve"> </w:t>
      </w:r>
      <w:r>
        <w:rPr>
          <w:i/>
          <w:iCs/>
        </w:rPr>
        <w:t xml:space="preserve">5</w:t>
      </w:r>
      <w:r>
        <w:t xml:space="preserve">(3), 161–215.</w:t>
      </w:r>
      <w:r>
        <w:t xml:space="preserve"> </w:t>
      </w:r>
      <w:hyperlink r:id="rId132">
        <w:r>
          <w:rPr>
            <w:rStyle w:val="Hyperlink"/>
          </w:rPr>
          <w:t xml:space="preserve">https://doi.org/10.1214/aoms/1177732676</w:t>
        </w:r>
      </w:hyperlink>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MLM is known by various names in different substantive fields, including: linear mixed model, hierarchical linear model, random-effect model and mixed-effects model.</w:t>
      </w:r>
    </w:p>
  </w:footnote>
  <w:footnote w:id="29">
    <w:p>
      <w:pPr>
        <w:pStyle w:val="FootnoteText"/>
      </w:pPr>
      <w:r>
        <w:rPr>
          <w:rStyle w:val="FootnoteReference"/>
        </w:rPr>
        <w:footnoteRef/>
      </w:r>
      <w:r>
        <w:t xml:space="preserve"> </w:t>
      </w:r>
      <w:r>
        <w:t xml:space="preserve">Contrary to the data generating models, the analytical models do not model the covariate</w:t>
      </w:r>
      <w:r>
        <w:t xml:space="preserve"> </w:t>
      </w:r>
      <m:oMath>
        <m:sSub>
          <m:e>
            <m:r>
              <m:t>X</m:t>
            </m:r>
          </m:e>
          <m:sub>
            <m:r>
              <m:t>i</m:t>
            </m:r>
            <m:r>
              <m:t>t</m:t>
            </m:r>
          </m:sub>
        </m:sSub>
      </m:oMath>
      <w:r>
        <w:t xml:space="preserve"> </w:t>
      </w:r>
      <w:r>
        <w:t xml:space="preserve">and the treatment</w:t>
      </w:r>
      <w:r>
        <w:t xml:space="preserve"> </w:t>
      </w:r>
      <m:oMath>
        <m:sSub>
          <m:e>
            <m:r>
              <m:t>A</m:t>
            </m:r>
          </m:e>
          <m:sub>
            <m:r>
              <m:t>i</m:t>
            </m:r>
            <m:r>
              <m:t>t</m:t>
            </m:r>
          </m:sub>
        </m:sSub>
      </m:oMath>
      <w:r>
        <w:t xml:space="preserve">.</w:t>
      </w:r>
    </w:p>
  </w:footnote>
  <w:footnote w:id="59">
    <w:p>
      <w:pPr>
        <w:pStyle w:val="FootnoteText"/>
      </w:pPr>
      <w:r>
        <w:rPr>
          <w:rStyle w:val="FootnoteReference"/>
        </w:rPr>
        <w:footnoteRef/>
      </w:r>
      <w:r>
        <w:t xml:space="preserve"> </w:t>
      </w:r>
      <w:r>
        <w:t xml:space="preserve">See</w:t>
      </w:r>
      <w:r>
        <w:t xml:space="preserve"> </w:t>
      </w:r>
      <w:r>
        <w:t xml:space="preserve">(</w:t>
      </w:r>
      <w:hyperlink w:anchor="ref-hayduk2003">
        <w:r>
          <w:rPr>
            <w:rStyle w:val="Hyperlink"/>
          </w:rPr>
          <w:t xml:space="preserve">Hayduk et al., 2003</w:t>
        </w:r>
      </w:hyperlink>
      <w:r>
        <w:t xml:space="preserve">)</w:t>
      </w:r>
      <w:r>
        <w:t xml:space="preserve"> </w:t>
      </w:r>
      <w:r>
        <w:t xml:space="preserve">for an accessible introduction into d-separation.</w:t>
      </w:r>
    </w:p>
  </w:footnote>
  <w:footnote w:id="61">
    <w:p>
      <w:pPr>
        <w:pStyle w:val="FootnoteText"/>
      </w:pPr>
      <w:r>
        <w:rPr>
          <w:rStyle w:val="FootnoteReference"/>
        </w:rPr>
        <w:footnoteRef/>
      </w:r>
      <w:r>
        <w:t xml:space="preserve"> </w:t>
      </w:r>
      <w:r>
        <w:t xml:space="preserve">The supplemental table with additional information can be found at the OSF repository:</w:t>
      </w:r>
      <w:r>
        <w:t xml:space="preserve"> </w:t>
      </w:r>
      <w:hyperlink r:id="rId62">
        <w:r>
          <w:rPr>
            <w:rStyle w:val="Hyperlink"/>
          </w:rPr>
          <w:t xml:space="preserve">https://osf.io/8xawt/?view_only=aad6a13b7a4a4d36aed76ed8aac584c4</w:t>
        </w:r>
      </w:hyperlink>
    </w:p>
  </w:footnote>
  <w:footnote w:id="69">
    <w:p>
      <w:pPr>
        <w:pStyle w:val="FootnoteText"/>
      </w:pPr>
      <w:r>
        <w:rPr>
          <w:rStyle w:val="FootnoteReference"/>
        </w:rPr>
        <w:footnoteRef/>
      </w:r>
      <w:r>
        <w:t xml:space="preserve"> </w:t>
      </w:r>
      <w:r>
        <w:t xml:space="preserve">Note that the term</w:t>
      </w:r>
      <w:r>
        <w:t xml:space="preserve"> </w:t>
      </w:r>
      <w:r>
        <w:t xml:space="preserve">“</w:t>
      </w:r>
      <w:r>
        <w:t xml:space="preserve">effect modification</w:t>
      </w:r>
      <w:r>
        <w:t xml:space="preserve">”</w:t>
      </w:r>
      <w:r>
        <w:t xml:space="preserve">, while often used interchangeably with</w:t>
      </w:r>
      <w:r>
        <w:t xml:space="preserve"> </w:t>
      </w:r>
      <w:r>
        <w:t xml:space="preserve">“</w:t>
      </w:r>
      <w:r>
        <w:t xml:space="preserve">interaction</w:t>
      </w:r>
      <w:r>
        <w:t xml:space="preserve">”</w:t>
      </w:r>
      <w:r>
        <w:t xml:space="preserve">, has a distinct definition in the counterfactual framework</w:t>
      </w:r>
      <w:r>
        <w:t xml:space="preserve"> </w:t>
      </w:r>
      <w:r>
        <w:t xml:space="preserve">(</w:t>
      </w:r>
      <w:hyperlink w:anchor="ref-vanderweele2009">
        <w:r>
          <w:rPr>
            <w:rStyle w:val="Hyperlink"/>
          </w:rPr>
          <w:t xml:space="preserve">VanderWeele, 2009</w:t>
        </w:r>
      </w:hyperlink>
      <w:r>
        <w:t xml:space="preserve">)</w:t>
      </w:r>
      <w:r>
        <w:t xml:space="preserve">.</w:t>
      </w:r>
    </w:p>
  </w:footnote>
  <w:footnote w:id="70">
    <w:p>
      <w:pPr>
        <w:pStyle w:val="FootnoteText"/>
      </w:pPr>
      <w:r>
        <w:rPr>
          <w:rStyle w:val="FootnoteReference"/>
        </w:rPr>
        <w:footnoteRef/>
      </w:r>
      <w:r>
        <w:t xml:space="preserve"> </w:t>
      </w:r>
      <w:r>
        <w:t xml:space="preserve">This is referred to as the Correlated Random Effects (CRE) approach by</w:t>
      </w:r>
      <w:r>
        <w:t xml:space="preserve"> </w:t>
      </w:r>
      <w:r>
        <w:t xml:space="preserve">Wooldridge (</w:t>
      </w:r>
      <w:hyperlink w:anchor="ref-wooldridge2002">
        <w:r>
          <w:rPr>
            <w:rStyle w:val="Hyperlink"/>
          </w:rPr>
          <w:t xml:space="preserve">2002</w:t>
        </w:r>
      </w:hyperlink>
      <w:r>
        <w:t xml:space="preserve">)</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63" Target="media/rId63.png" /><Relationship Type="http://schemas.openxmlformats.org/officeDocument/2006/relationships/hyperlink" Id="rId125" Target="https://doi.org/10.1002/cpt.1079" TargetMode="External" /><Relationship Type="http://schemas.openxmlformats.org/officeDocument/2006/relationships/hyperlink" Id="rId119" Target="https://doi.org/10.1002/sim.4510" TargetMode="External" /><Relationship Type="http://schemas.openxmlformats.org/officeDocument/2006/relationships/hyperlink" Id="rId86" Target="https://doi.org/10.1002/sim.5686" TargetMode="External" /><Relationship Type="http://schemas.openxmlformats.org/officeDocument/2006/relationships/hyperlink" Id="rId100" Target="https://doi.org/10.1002/sim.8086" TargetMode="External" /><Relationship Type="http://schemas.openxmlformats.org/officeDocument/2006/relationships/hyperlink" Id="rId104" Target="https://doi.org/10.1016/j.cct.2021.106513" TargetMode="External" /><Relationship Type="http://schemas.openxmlformats.org/officeDocument/2006/relationships/hyperlink" Id="rId82" Target="https://doi.org/10.1017/psrm.2014.7" TargetMode="External" /><Relationship Type="http://schemas.openxmlformats.org/officeDocument/2006/relationships/hyperlink" Id="rId80" Target="https://doi.org/10.1037/a0025813" TargetMode="External" /><Relationship Type="http://schemas.openxmlformats.org/officeDocument/2006/relationships/hyperlink" Id="rId94" Target="https://doi.org/10.1037/met0000239" TargetMode="External" /><Relationship Type="http://schemas.openxmlformats.org/officeDocument/2006/relationships/hyperlink" Id="rId84" Target="https://doi.org/10.1080/01621459.2017.1305274" TargetMode="External" /><Relationship Type="http://schemas.openxmlformats.org/officeDocument/2006/relationships/hyperlink" Id="rId110" Target="https://doi.org/10.1080/03610919408813210" TargetMode="External" /><Relationship Type="http://schemas.openxmlformats.org/officeDocument/2006/relationships/hyperlink" Id="rId88" Target="https://doi.org/10.1086/224256" TargetMode="External" /><Relationship Type="http://schemas.openxmlformats.org/officeDocument/2006/relationships/hyperlink" Id="rId107" Target="https://doi.org/10.1093/biomet/82.4.669" TargetMode="External" /><Relationship Type="http://schemas.openxmlformats.org/officeDocument/2006/relationships/hyperlink" Id="rId76" Target="https://doi.org/10.1093/ije/dyac126" TargetMode="External" /><Relationship Type="http://schemas.openxmlformats.org/officeDocument/2006/relationships/hyperlink" Id="rId123" Target="https://doi.org/10.1097/EDE.0b013e3181ba333c" TargetMode="External" /><Relationship Type="http://schemas.openxmlformats.org/officeDocument/2006/relationships/hyperlink" Id="rId98" Target="https://doi.org/10.1111/bmsp.12217" TargetMode="External" /><Relationship Type="http://schemas.openxmlformats.org/officeDocument/2006/relationships/hyperlink" Id="rId90" Target="https://doi.org/10.1146/annurev-soc-071913-043455" TargetMode="External" /><Relationship Type="http://schemas.openxmlformats.org/officeDocument/2006/relationships/hyperlink" Id="rId129" Target="https://doi.org/10.1177/0049124118769087" TargetMode="External" /><Relationship Type="http://schemas.openxmlformats.org/officeDocument/2006/relationships/hyperlink" Id="rId92" Target="https://doi.org/10.1177/0962280217730851" TargetMode="External" /><Relationship Type="http://schemas.openxmlformats.org/officeDocument/2006/relationships/hyperlink" Id="rId74" Target="https://doi.org/10.1177/1094428119877457" TargetMode="External" /><Relationship Type="http://schemas.openxmlformats.org/officeDocument/2006/relationships/hyperlink" Id="rId117" Target="https://doi.org/10.1207/S15327906MBR3501_3" TargetMode="External" /><Relationship Type="http://schemas.openxmlformats.org/officeDocument/2006/relationships/hyperlink" Id="rId96" Target="https://doi.org/10.1207/S15328007SEM1002_8" TargetMode="External" /><Relationship Type="http://schemas.openxmlformats.org/officeDocument/2006/relationships/hyperlink" Id="rId112" Target="https://doi.org/10.1214/19-sts720" TargetMode="External" /><Relationship Type="http://schemas.openxmlformats.org/officeDocument/2006/relationships/hyperlink" Id="rId132" Target="https://doi.org/10.1214/aoms/1177732676" TargetMode="External" /><Relationship Type="http://schemas.openxmlformats.org/officeDocument/2006/relationships/hyperlink" Id="rId78" Target="https://doi.org/10.18637/jss.v067.i01" TargetMode="External" /><Relationship Type="http://schemas.openxmlformats.org/officeDocument/2006/relationships/hyperlink" Id="rId102" Target="https://doi.org/10.2307/1913646" TargetMode="External" /><Relationship Type="http://schemas.openxmlformats.org/officeDocument/2006/relationships/hyperlink" Id="rId115" Target="https://journals.lww.com/epidem/fulltext/2000/09000/marginal_structural_models_and_causal_inference_in.11.aspx" TargetMode="External" /><Relationship Type="http://schemas.openxmlformats.org/officeDocument/2006/relationships/hyperlink" Id="rId62" Target="https://osf.io/8xawt/?view_only=aad6a13b7a4a4d36aed76ed8aac584c4" TargetMode="External" /><Relationship Type="http://schemas.openxmlformats.org/officeDocument/2006/relationships/hyperlink" Id="rId121" Target="https://www.R-project.org/" TargetMode="External" /><Relationship Type="http://schemas.openxmlformats.org/officeDocument/2006/relationships/hyperlink" Id="rId127" Target="https://www.jstor.org/stable/20486428" TargetMode="External" /></Relationships>
</file>

<file path=word/_rels/footnotes.xml.rels><?xml version="1.0" encoding="UTF-8"?><Relationships xmlns="http://schemas.openxmlformats.org/package/2006/relationships"><Relationship Type="http://schemas.openxmlformats.org/officeDocument/2006/relationships/hyperlink" Id="rId125" Target="https://doi.org/10.1002/cpt.1079" TargetMode="External" /><Relationship Type="http://schemas.openxmlformats.org/officeDocument/2006/relationships/hyperlink" Id="rId119" Target="https://doi.org/10.1002/sim.4510" TargetMode="External" /><Relationship Type="http://schemas.openxmlformats.org/officeDocument/2006/relationships/hyperlink" Id="rId86" Target="https://doi.org/10.1002/sim.5686" TargetMode="External" /><Relationship Type="http://schemas.openxmlformats.org/officeDocument/2006/relationships/hyperlink" Id="rId100" Target="https://doi.org/10.1002/sim.8086" TargetMode="External" /><Relationship Type="http://schemas.openxmlformats.org/officeDocument/2006/relationships/hyperlink" Id="rId104" Target="https://doi.org/10.1016/j.cct.2021.106513" TargetMode="External" /><Relationship Type="http://schemas.openxmlformats.org/officeDocument/2006/relationships/hyperlink" Id="rId82" Target="https://doi.org/10.1017/psrm.2014.7" TargetMode="External" /><Relationship Type="http://schemas.openxmlformats.org/officeDocument/2006/relationships/hyperlink" Id="rId80" Target="https://doi.org/10.1037/a0025813" TargetMode="External" /><Relationship Type="http://schemas.openxmlformats.org/officeDocument/2006/relationships/hyperlink" Id="rId94" Target="https://doi.org/10.1037/met0000239" TargetMode="External" /><Relationship Type="http://schemas.openxmlformats.org/officeDocument/2006/relationships/hyperlink" Id="rId84" Target="https://doi.org/10.1080/01621459.2017.1305274" TargetMode="External" /><Relationship Type="http://schemas.openxmlformats.org/officeDocument/2006/relationships/hyperlink" Id="rId110" Target="https://doi.org/10.1080/03610919408813210" TargetMode="External" /><Relationship Type="http://schemas.openxmlformats.org/officeDocument/2006/relationships/hyperlink" Id="rId88" Target="https://doi.org/10.1086/224256" TargetMode="External" /><Relationship Type="http://schemas.openxmlformats.org/officeDocument/2006/relationships/hyperlink" Id="rId107" Target="https://doi.org/10.1093/biomet/82.4.669" TargetMode="External" /><Relationship Type="http://schemas.openxmlformats.org/officeDocument/2006/relationships/hyperlink" Id="rId76" Target="https://doi.org/10.1093/ije/dyac126" TargetMode="External" /><Relationship Type="http://schemas.openxmlformats.org/officeDocument/2006/relationships/hyperlink" Id="rId123" Target="https://doi.org/10.1097/EDE.0b013e3181ba333c" TargetMode="External" /><Relationship Type="http://schemas.openxmlformats.org/officeDocument/2006/relationships/hyperlink" Id="rId98" Target="https://doi.org/10.1111/bmsp.12217" TargetMode="External" /><Relationship Type="http://schemas.openxmlformats.org/officeDocument/2006/relationships/hyperlink" Id="rId90" Target="https://doi.org/10.1146/annurev-soc-071913-043455" TargetMode="External" /><Relationship Type="http://schemas.openxmlformats.org/officeDocument/2006/relationships/hyperlink" Id="rId129" Target="https://doi.org/10.1177/0049124118769087" TargetMode="External" /><Relationship Type="http://schemas.openxmlformats.org/officeDocument/2006/relationships/hyperlink" Id="rId92" Target="https://doi.org/10.1177/0962280217730851" TargetMode="External" /><Relationship Type="http://schemas.openxmlformats.org/officeDocument/2006/relationships/hyperlink" Id="rId74" Target="https://doi.org/10.1177/1094428119877457" TargetMode="External" /><Relationship Type="http://schemas.openxmlformats.org/officeDocument/2006/relationships/hyperlink" Id="rId117" Target="https://doi.org/10.1207/S15327906MBR3501_3" TargetMode="External" /><Relationship Type="http://schemas.openxmlformats.org/officeDocument/2006/relationships/hyperlink" Id="rId96" Target="https://doi.org/10.1207/S15328007SEM1002_8" TargetMode="External" /><Relationship Type="http://schemas.openxmlformats.org/officeDocument/2006/relationships/hyperlink" Id="rId112" Target="https://doi.org/10.1214/19-sts720" TargetMode="External" /><Relationship Type="http://schemas.openxmlformats.org/officeDocument/2006/relationships/hyperlink" Id="rId132" Target="https://doi.org/10.1214/aoms/1177732676" TargetMode="External" /><Relationship Type="http://schemas.openxmlformats.org/officeDocument/2006/relationships/hyperlink" Id="rId78" Target="https://doi.org/10.18637/jss.v067.i01" TargetMode="External" /><Relationship Type="http://schemas.openxmlformats.org/officeDocument/2006/relationships/hyperlink" Id="rId102" Target="https://doi.org/10.2307/1913646" TargetMode="External" /><Relationship Type="http://schemas.openxmlformats.org/officeDocument/2006/relationships/hyperlink" Id="rId115" Target="https://journals.lww.com/epidem/fulltext/2000/09000/marginal_structural_models_and_causal_inference_in.11.aspx" TargetMode="External" /><Relationship Type="http://schemas.openxmlformats.org/officeDocument/2006/relationships/hyperlink" Id="rId62" Target="https://osf.io/8xawt/?view_only=aad6a13b7a4a4d36aed76ed8aac584c4" TargetMode="External" /><Relationship Type="http://schemas.openxmlformats.org/officeDocument/2006/relationships/hyperlink" Id="rId121" Target="https://www.R-project.org/" TargetMode="External" /><Relationship Type="http://schemas.openxmlformats.org/officeDocument/2006/relationships/hyperlink" Id="rId127" Target="https://www.jstor.org/stable/204864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Effect Bias in Multilevel Linear Models under Time-Varying Endogeneity: A New Look at Qian et al. (2020)</dc:title>
  <dc:creator>Ward B. Eiling (9294163)</dc:creator>
  <cp:keywords/>
  <dcterms:created xsi:type="dcterms:W3CDTF">2024-12-20T11:45:05Z</dcterms:created>
  <dcterms:modified xsi:type="dcterms:W3CDTF">2024-12-20T11:45:05Z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December 20, 2024</vt:lpwstr>
  </property>
  <property fmtid="{D5CDD505-2E9C-101B-9397-08002B2CF9AE}" pid="10" name="date-format">
    <vt:lpwstr>long</vt:lpwstr>
  </property>
  <property fmtid="{D5CDD505-2E9C-101B-9397-08002B2CF9AE}" pid="11" name="execute">
    <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Research Report</vt:lpwstr>
  </property>
  <property fmtid="{D5CDD505-2E9C-101B-9397-08002B2CF9AE}" pid="19" name="toc-title">
    <vt:lpwstr>Table of contents</vt:lpwstr>
  </property>
</Properties>
</file>