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Copperline Fabrication Works LLC Capability Statement</w:t>
      </w:r>
    </w:p>
    <w:p>
      <w:pPr>
        <w:pStyle w:val="Heading2"/>
      </w:pPr>
      <w:r>
        <w:t xml:space="preserve">Core Capabilities</w:t>
      </w:r>
    </w:p>
    <w:p>
      <w:r>
        <w:t xml:space="preserve">Precision cutting, welding and finishing of structural steel and architectural metalwork.</w:t>
      </w:r>
    </w:p>
    <w:p>
      <w:pPr>
        <w:pStyle w:val="Heading2"/>
      </w:pPr>
      <w:r>
        <w:t xml:space="preserve">Company Data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Detail</w:t>
            </w:r>
          </w:p>
        </w:tc>
      </w:tr>
      <w:tr>
        <w:tc>
          <w:p>
            <w:r>
              <w:t xml:space="preserve">Primary NAICS code</w:t>
            </w:r>
          </w:p>
        </w:tc>
        <w:tc>
          <w:p>
            <w:r>
              <w:t xml:space="preserve">332312</w:t>
            </w:r>
          </w:p>
        </w:tc>
      </w:tr>
      <w:tr>
        <w:tc>
          <w:p>
            <w:r>
              <w:t xml:space="preserve">Employees</w:t>
            </w:r>
          </w:p>
        </w:tc>
        <w:tc>
          <w:p>
            <w:r>
              <w:t xml:space="preserve">22</w:t>
            </w:r>
          </w:p>
        </w:tc>
      </w:tr>
      <w:tr>
        <w:tc>
          <w:p>
            <w:r>
              <w:t xml:space="preserve">Facility</w:t>
            </w:r>
          </w:p>
        </w:tc>
        <w:tc>
          <w:p>
            <w:r>
              <w:t xml:space="preserve">18,000 square feet in Los Angeles County</w:t>
            </w:r>
          </w:p>
        </w:tc>
      </w:tr>
    </w:tbl>
    <w:p>
      <w:r>
        <w:t xml:space="preserve">Sample document for product testing. The organization, funder and figures are fictional.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6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