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i w:val="0"/>
          <w:color w:val="006AA6"/>
          <w:sz w:val="40"/>
        </w:rPr>
        <w:t>License Plate Detection</w:t>
      </w:r>
    </w:p>
    <w:p>
      <w:pPr>
        <w:jc w:val="center"/>
      </w:pPr>
      <w:r>
        <w:rPr>
          <w:b w:val="0"/>
          <w:i/>
          <w:color w:val="444444"/>
          <w:sz w:val="26"/>
        </w:rPr>
        <w:t>Comparing YOLOv8s, RetinaNet, and Faster R-CNN</w:t>
      </w:r>
    </w:p>
    <w:p>
      <w:pPr>
        <w:jc w:val="center"/>
      </w:pPr>
      <w:r>
        <w:rPr>
          <w:b w:val="0"/>
          <w:i w:val="0"/>
          <w:color w:val="777777"/>
          <w:sz w:val="20"/>
        </w:rPr>
        <w:t>CMPS 261 — Machine Learning  |  American University of Beirut  |  April 2026</w:t>
      </w:r>
    </w:p>
    <w:p/>
    <w:p>
      <w:pPr>
        <w:spacing w:before="360" w:after="80"/>
        <w:pBdr>
          <w:bottom w:val="single" w:sz="6" w:space="1" w:color="006AA6"/>
        </w:pBdr>
      </w:pPr>
      <w:r>
        <w:rPr>
          <w:b/>
          <w:i w:val="0"/>
          <w:color w:val="006AA6"/>
          <w:sz w:val="26"/>
        </w:rPr>
        <w:t>1. INTRODUCTION</w:t>
      </w:r>
    </w:p>
    <w:p>
      <w:pPr>
        <w:spacing w:after="120" w:before="0"/>
      </w:pPr>
      <w:r>
        <w:rPr>
          <w:b w:val="0"/>
          <w:i w:val="0"/>
          <w:sz w:val="22"/>
        </w:rPr>
        <w:t>Automatic licence plate detection is the first stage of any vehicle recognition pipeline. It underpins traffic enforcement cameras, automated toll and parking systems, and vehicle access control. The task is to take an arbitrary photograph of a vehicle and output the precise pixel coordinates of the licence plate bounding box — with no human involvement.</w:t>
      </w:r>
    </w:p>
    <w:p>
      <w:pPr>
        <w:spacing w:after="120" w:before="0"/>
      </w:pPr>
      <w:r>
        <w:rPr>
          <w:b w:val="0"/>
          <w:i w:val="0"/>
          <w:sz w:val="22"/>
        </w:rPr>
        <w:t>This project investigates three object detection architectures on a common 433-image dataset: YOLOv8s (single-stage, anchor-free), RetinaNet ResNet50-FPN v2 (single-stage with focal loss), and Faster R-CNN ResNet50-FPN v2 (two-stage). We train all three under identical conditions and evaluate them on the same held-out test set, reporting Precision, Recall, F1 score, and where available mAP@0.5.</w:t>
      </w:r>
    </w:p>
    <w:p>
      <w:pPr>
        <w:spacing w:before="360" w:after="80"/>
        <w:pBdr>
          <w:bottom w:val="single" w:sz="6" w:space="1" w:color="006AA6"/>
        </w:pBdr>
      </w:pPr>
      <w:r>
        <w:rPr>
          <w:b/>
          <w:i w:val="0"/>
          <w:color w:val="006AA6"/>
          <w:sz w:val="26"/>
        </w:rPr>
        <w:t>2. DATASET AND PREPROCESSING</w:t>
      </w:r>
    </w:p>
    <w:p>
      <w:pPr>
        <w:spacing w:before="200" w:after="40"/>
      </w:pPr>
      <w:r>
        <w:rPr>
          <w:b/>
          <w:i w:val="0"/>
          <w:color w:val="006AA6"/>
          <w:sz w:val="22"/>
        </w:rPr>
        <w:t>2.1 Dataset</w:t>
      </w:r>
    </w:p>
    <w:p>
      <w:pPr>
        <w:spacing w:after="120" w:before="0"/>
      </w:pPr>
      <w:r>
        <w:rPr>
          <w:b w:val="0"/>
          <w:i w:val="0"/>
          <w:sz w:val="22"/>
        </w:rPr>
        <w:t>We used the Car Plate Detection dataset from Kaggle, which contains 433 images of vehicles with a single bounding box annotation per image in PASCAL VOC XML format. Images vary in resolution, lighting, viewing angle, and plate style.</w:t>
      </w:r>
    </w:p>
    <w:p>
      <w:pPr>
        <w:spacing w:before="200" w:after="40"/>
      </w:pPr>
      <w:r>
        <w:rPr>
          <w:b/>
          <w:i w:val="0"/>
          <w:color w:val="006AA6"/>
          <w:sz w:val="22"/>
        </w:rPr>
        <w:t>2.2 Preprocessing</w:t>
      </w:r>
    </w:p>
    <w:p>
      <w:pPr>
        <w:spacing w:after="120" w:before="0"/>
      </w:pPr>
      <w:r>
        <w:rPr>
          <w:b w:val="0"/>
          <w:i w:val="0"/>
          <w:sz w:val="22"/>
        </w:rPr>
        <w:t>The VOC XML annotations were parsed to extract the bounding box coordinates (xmin, ymin, xmax, ymax) for each image. These were then converted to YOLO format — normalised centre coordinates and dimensions (cx, cy, w, h) in the range [0, 1] — which is the common input format used by all three training pipelines. The dataset was split into train / validation / test sets:</w:t>
      </w:r>
    </w:p>
    <w:p>
      <w:pPr>
        <w:pStyle w:val="ListBullet"/>
        <w:spacing w:after="60"/>
        <w:ind w:left="432"/>
      </w:pPr>
      <w:r>
        <w:rPr>
          <w:b w:val="0"/>
          <w:i w:val="0"/>
          <w:sz w:val="22"/>
        </w:rPr>
        <w:t>Train: 303 images (70%)</w:t>
      </w:r>
    </w:p>
    <w:p>
      <w:pPr>
        <w:pStyle w:val="ListBullet"/>
        <w:spacing w:after="60"/>
        <w:ind w:left="432"/>
      </w:pPr>
      <w:r>
        <w:rPr>
          <w:b w:val="0"/>
          <w:i w:val="0"/>
          <w:sz w:val="22"/>
        </w:rPr>
        <w:t>Validation: 64 images (15%)</w:t>
      </w:r>
    </w:p>
    <w:p>
      <w:pPr>
        <w:pStyle w:val="ListBullet"/>
        <w:spacing w:after="60"/>
        <w:ind w:left="432"/>
      </w:pPr>
      <w:r>
        <w:rPr>
          <w:b w:val="0"/>
          <w:i w:val="0"/>
          <w:sz w:val="22"/>
        </w:rPr>
        <w:t>Test: 66 images (15%)</w:t>
      </w:r>
    </w:p>
    <w:p>
      <w:pPr>
        <w:spacing w:after="120" w:before="0"/>
      </w:pPr>
      <w:r>
        <w:rPr>
          <w:b w:val="0"/>
          <w:i w:val="0"/>
          <w:sz w:val="22"/>
        </w:rPr>
        <w:t>The same fixed split was used across all three models to ensure fair comparison. Importantly, the test set was never used during training or hyperparameter selection — only for the final reported metrics.</w:t>
      </w:r>
    </w:p>
    <w:p>
      <w:pPr>
        <w:spacing w:before="200" w:after="40"/>
      </w:pPr>
      <w:r>
        <w:rPr>
          <w:b/>
          <w:i w:val="0"/>
          <w:color w:val="006AA6"/>
          <w:sz w:val="22"/>
        </w:rPr>
        <w:t>2.3 Data Augmentation</w:t>
      </w:r>
    </w:p>
    <w:p>
      <w:pPr>
        <w:spacing w:after="120" w:before="0"/>
      </w:pPr>
      <w:r>
        <w:rPr>
          <w:b w:val="0"/>
          <w:i w:val="0"/>
          <w:sz w:val="22"/>
        </w:rPr>
        <w:t>To reduce overfitting on the small training set, the following augmentations were applied on-the-fly during training (validation and test images were never augmented):</w:t>
      </w:r>
    </w:p>
    <w:p>
      <w:pPr>
        <w:pStyle w:val="ListBullet"/>
        <w:spacing w:after="60"/>
        <w:ind w:left="432"/>
      </w:pPr>
      <w:r>
        <w:rPr>
          <w:b w:val="0"/>
          <w:i w:val="0"/>
          <w:sz w:val="22"/>
        </w:rPr>
        <w:t>Horizontal flip (50% probability) — boxes reflected accordingly</w:t>
      </w:r>
    </w:p>
    <w:p>
      <w:pPr>
        <w:pStyle w:val="ListBullet"/>
        <w:spacing w:after="60"/>
        <w:ind w:left="432"/>
      </w:pPr>
      <w:r>
        <w:rPr>
          <w:b w:val="0"/>
          <w:i w:val="0"/>
          <w:sz w:val="22"/>
        </w:rPr>
        <w:t>Colour jitter: random brightness (±40%), contrast (±40%), saturation (±30%), hue (±8%)</w:t>
      </w:r>
    </w:p>
    <w:p>
      <w:pPr>
        <w:pStyle w:val="ListBullet"/>
        <w:spacing w:after="60"/>
        <w:ind w:left="432"/>
      </w:pPr>
      <w:r>
        <w:rPr>
          <w:b w:val="0"/>
          <w:i w:val="0"/>
          <w:sz w:val="22"/>
        </w:rPr>
        <w:t>Random scale: image resized to 75–100% of original size with padding to preserve dimensions</w:t>
      </w:r>
    </w:p>
    <w:p>
      <w:pPr>
        <w:pStyle w:val="ListBullet"/>
        <w:spacing w:after="60"/>
        <w:ind w:left="432"/>
      </w:pPr>
      <w:r>
        <w:rPr>
          <w:b w:val="0"/>
          <w:i w:val="0"/>
          <w:sz w:val="22"/>
        </w:rPr>
        <w:t>Random crop: 85–100% of the image cropped and resized back, boxes clipped to remain inside</w:t>
      </w:r>
    </w:p>
    <w:p>
      <w:pPr>
        <w:spacing w:after="120" w:before="0"/>
      </w:pPr>
      <w:r>
        <w:rPr>
          <w:b w:val="0"/>
          <w:i w:val="0"/>
          <w:sz w:val="22"/>
        </w:rPr>
        <w:t>YOLOv8 additionally applies its own internal mosaic and mixup augmentation, which pastes multiple training images together. This is one reason YOLOv8 is more data-efficient than the other two.</w:t>
      </w:r>
    </w:p>
    <w:p>
      <w:pPr>
        <w:spacing w:before="360" w:after="80"/>
        <w:pBdr>
          <w:bottom w:val="single" w:sz="6" w:space="1" w:color="006AA6"/>
        </w:pBdr>
      </w:pPr>
      <w:r>
        <w:rPr>
          <w:b/>
          <w:i w:val="0"/>
          <w:color w:val="006AA6"/>
          <w:sz w:val="26"/>
        </w:rPr>
        <w:t>3. METHODOLOGY</w:t>
      </w:r>
    </w:p>
    <w:p>
      <w:pPr>
        <w:spacing w:before="200" w:after="40"/>
      </w:pPr>
      <w:r>
        <w:rPr>
          <w:b/>
          <w:i w:val="0"/>
          <w:color w:val="006AA6"/>
          <w:sz w:val="22"/>
        </w:rPr>
        <w:t>3.1 YOLOv8s</w:t>
      </w:r>
    </w:p>
    <w:p>
      <w:pPr>
        <w:spacing w:after="120" w:before="0"/>
      </w:pPr>
      <w:r>
        <w:rPr>
          <w:b w:val="0"/>
          <w:i w:val="0"/>
          <w:sz w:val="22"/>
        </w:rPr>
        <w:t>YOLOv8s (You Only Look Once, version 8, small variant) is a single-stage, anchor-free detector. The image is processed by a CSPDarknet backbone and a path aggregation feature pyramid neck. The detection head divides the feature maps into a grid and predicts bounding boxes and class probabilities for each cell in a single forward pass — there is no separate region proposal stage.</w:t>
      </w:r>
    </w:p>
    <w:p>
      <w:r>
        <w:rPr>
          <w:b/>
          <w:i w:val="0"/>
          <w:sz w:val="22"/>
        </w:rPr>
        <w:t xml:space="preserve">Training: </w:t>
      </w:r>
      <w:r>
        <w:rPr>
          <w:b w:val="0"/>
          <w:i w:val="0"/>
          <w:sz w:val="22"/>
        </w:rPr>
        <w:t>We used the Ultralytics implementation with pretrained COCO weights. The model was fine-tuned for 100 epochs on our dataset with image size 640, batch size 16, and cosine LR scheduling. The confidence threshold was set to 0.25 for inference.</w:t>
      </w:r>
    </w:p>
    <w:p>
      <w:pPr>
        <w:spacing w:before="200" w:after="40"/>
      </w:pPr>
      <w:r>
        <w:rPr>
          <w:b/>
          <w:i w:val="0"/>
          <w:color w:val="006AA6"/>
          <w:sz w:val="22"/>
        </w:rPr>
        <w:t>3.2 RetinaNet (ResNet50-FPN v2)</w:t>
      </w:r>
    </w:p>
    <w:p>
      <w:pPr>
        <w:spacing w:after="120" w:before="0"/>
      </w:pPr>
      <w:r>
        <w:rPr>
          <w:b w:val="0"/>
          <w:i w:val="0"/>
          <w:sz w:val="22"/>
        </w:rPr>
        <w:t>RetinaNet is a single-stage detector built on a Feature Pyramid Network (FPN) backbone. The FPN extracts feature maps at multiple scales (P3–P7), allowing the model to detect objects at very different sizes. Dense anchor boxes are placed at each pyramid level and predicted against all of them simultaneously.</w:t>
      </w:r>
    </w:p>
    <w:p>
      <w:pPr>
        <w:spacing w:after="120" w:before="0"/>
      </w:pPr>
      <w:r>
        <w:rPr>
          <w:b w:val="0"/>
          <w:i w:val="0"/>
          <w:sz w:val="22"/>
        </w:rPr>
        <w:t>The key innovation is Focal Loss, which addresses the extreme class imbalance inherent in dense detection: for every licence plate anchor there are thousands of background anchors. Focal Loss reduces the contribution of easy, well-classified background examples (by a factor of (1−pt)^γ), forcing the model to focus learning on the hard, ambiguous ones.</w:t>
      </w:r>
    </w:p>
    <w:p>
      <w:r>
        <w:rPr>
          <w:b/>
          <w:i w:val="0"/>
          <w:sz w:val="22"/>
        </w:rPr>
        <w:t xml:space="preserve">Training: </w:t>
      </w:r>
      <w:r>
        <w:rPr>
          <w:b w:val="0"/>
          <w:i w:val="0"/>
          <w:sz w:val="22"/>
        </w:rPr>
        <w:t>Two-phase approach. Phase 1 freezes the ResNet50 backbone and trains only the classification and regression heads for up to 40 epochs (LR=1e-3, AdamW). Phase 2 unfreezes all weights and fine-tunes end-to-end for up to 80 epochs with a lower LR (1e-4) and cosine annealing. Early stopping monitored validation F1 (not validation loss) with patience 15.</w:t>
      </w:r>
    </w:p>
    <w:p>
      <w:pPr>
        <w:spacing w:before="200" w:after="40"/>
      </w:pPr>
      <w:r>
        <w:rPr>
          <w:b/>
          <w:i w:val="0"/>
          <w:color w:val="006AA6"/>
          <w:sz w:val="22"/>
        </w:rPr>
        <w:t>3.3 Faster R-CNN (ResNet50-FPN v2)</w:t>
      </w:r>
    </w:p>
    <w:p>
      <w:pPr>
        <w:spacing w:after="120" w:before="0"/>
      </w:pPr>
      <w:r>
        <w:rPr>
          <w:b w:val="0"/>
          <w:i w:val="0"/>
          <w:sz w:val="22"/>
        </w:rPr>
        <w:t>Faster R-CNN is a two-stage detector. Stage 1 is the Region Proposal Network (RPN), a small convolutional network that slides over the feature map and proposes candidate bounding boxes (regions of interest, RoIs) likely to contain an object. Stage 2 crops and pools each RoI into a fixed-size feature vector, then classifies it and refines the box coordinates.</w:t>
      </w:r>
    </w:p>
    <w:p>
      <w:pPr>
        <w:spacing w:after="120" w:before="0"/>
      </w:pPr>
      <w:r>
        <w:rPr>
          <w:b w:val="0"/>
          <w:i w:val="0"/>
          <w:sz w:val="22"/>
        </w:rPr>
        <w:t>This two-stage approach makes Faster R-CNN more accurate on complex scenes but slower than single-stage detectors. On small datasets the RPN must also learn from scratch, which limits its advantage.</w:t>
      </w:r>
    </w:p>
    <w:p>
      <w:r>
        <w:rPr>
          <w:b/>
          <w:i w:val="0"/>
          <w:sz w:val="22"/>
        </w:rPr>
        <w:t xml:space="preserve">Training: </w:t>
      </w:r>
      <w:r>
        <w:rPr>
          <w:b w:val="0"/>
          <w:i w:val="0"/>
          <w:sz w:val="22"/>
        </w:rPr>
        <w:t>SGD optimiser (LR=0.005, momentum=0.9, weight decay=5e-4), StepLR scheduler (÷2 every 10 epochs), 30 epochs, batch size 4. Early stopping on validation loss with patience 8. Confidence threshold 0.50.</w:t>
      </w:r>
    </w:p>
    <w:p>
      <w:pPr>
        <w:spacing w:before="200" w:after="40"/>
      </w:pPr>
      <w:r>
        <w:rPr>
          <w:b/>
          <w:i w:val="0"/>
          <w:color w:val="006AA6"/>
          <w:sz w:val="22"/>
        </w:rPr>
        <w:t>3.4 Evaluation Protocol</w:t>
      </w:r>
    </w:p>
    <w:p>
      <w:pPr>
        <w:spacing w:after="120" w:before="0"/>
      </w:pPr>
      <w:r>
        <w:rPr>
          <w:b w:val="0"/>
          <w:i w:val="0"/>
          <w:sz w:val="22"/>
        </w:rPr>
        <w:t>All models were evaluated on the same 66-image test set. A predicted box is counted as a True Positive (TP) if its IoU with a ground-truth box exceeds 0.5 and the ground-truth box has not already been matched. Otherwise it is a False Positive (FP). Unmatched ground-truth boxes are False Negatives (FN).</w:t>
      </w:r>
    </w:p>
    <w:p>
      <w:r>
        <w:rPr>
          <w:b/>
          <w:i w:val="0"/>
          <w:sz w:val="22"/>
        </w:rPr>
        <w:t>Precision</w:t>
      </w:r>
      <w:r>
        <w:rPr>
          <w:b w:val="0"/>
          <w:i w:val="0"/>
          <w:sz w:val="22"/>
        </w:rPr>
        <w:t xml:space="preserve"> = TP / (TP + FP)  —  of all predicted boxes, how many were correct.</w:t>
      </w:r>
    </w:p>
    <w:p>
      <w:r>
        <w:rPr>
          <w:b/>
          <w:i w:val="0"/>
          <w:sz w:val="22"/>
        </w:rPr>
        <w:t>Recall</w:t>
      </w:r>
      <w:r>
        <w:rPr>
          <w:b w:val="0"/>
          <w:i w:val="0"/>
          <w:sz w:val="22"/>
        </w:rPr>
        <w:t xml:space="preserve">    = TP / (TP + FN)  —  of all real plates, how many were found.</w:t>
      </w:r>
    </w:p>
    <w:p>
      <w:r>
        <w:rPr>
          <w:b/>
          <w:i w:val="0"/>
          <w:sz w:val="22"/>
        </w:rPr>
        <w:t>F1</w:t>
      </w:r>
      <w:r>
        <w:rPr>
          <w:b w:val="0"/>
          <w:i w:val="0"/>
          <w:sz w:val="22"/>
        </w:rPr>
        <w:t xml:space="preserve">          = 2·P·R / (P+R)  —  harmonic mean, the primary ranking metric.</w:t>
      </w:r>
    </w:p>
    <w:p>
      <w:pPr>
        <w:spacing w:after="120" w:before="0"/>
      </w:pPr>
      <w:r>
        <w:rPr>
          <w:b w:val="0"/>
          <w:i w:val="0"/>
          <w:sz w:val="22"/>
        </w:rPr>
        <w:t>For each model, the confidence threshold was selected by sweeping values on the validation set and picking the one that maximised validation F1.</w:t>
      </w:r>
    </w:p>
    <w:p>
      <w:pPr>
        <w:spacing w:before="360" w:after="80"/>
        <w:pBdr>
          <w:bottom w:val="single" w:sz="6" w:space="1" w:color="006AA6"/>
        </w:pBdr>
      </w:pPr>
      <w:r>
        <w:rPr>
          <w:b/>
          <w:i w:val="0"/>
          <w:color w:val="006AA6"/>
          <w:sz w:val="26"/>
        </w:rPr>
        <w:t>4. RESULTS</w:t>
      </w:r>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1511"/>
          </w:tcPr>
          <w:p>
            <w:pPr>
              <w:jc w:val="center"/>
            </w:pPr>
            <w:r>
              <w:rPr>
                <w:b/>
                <w:i w:val="0"/>
                <w:sz w:val="22"/>
              </w:rPr>
              <w:t>Model</w:t>
            </w:r>
          </w:p>
        </w:tc>
        <w:tc>
          <w:tcPr>
            <w:tcW w:type="dxa" w:w="1511"/>
          </w:tcPr>
          <w:p>
            <w:pPr>
              <w:jc w:val="center"/>
            </w:pPr>
            <w:r>
              <w:rPr>
                <w:b/>
                <w:i w:val="0"/>
                <w:sz w:val="22"/>
              </w:rPr>
              <w:t>Precision</w:t>
            </w:r>
          </w:p>
        </w:tc>
        <w:tc>
          <w:tcPr>
            <w:tcW w:type="dxa" w:w="1511"/>
          </w:tcPr>
          <w:p>
            <w:pPr>
              <w:jc w:val="center"/>
            </w:pPr>
            <w:r>
              <w:rPr>
                <w:b/>
                <w:i w:val="0"/>
                <w:sz w:val="22"/>
              </w:rPr>
              <w:t>Recall</w:t>
            </w:r>
          </w:p>
        </w:tc>
        <w:tc>
          <w:tcPr>
            <w:tcW w:type="dxa" w:w="1511"/>
          </w:tcPr>
          <w:p>
            <w:pPr>
              <w:jc w:val="center"/>
            </w:pPr>
            <w:r>
              <w:rPr>
                <w:b/>
                <w:i w:val="0"/>
                <w:sz w:val="22"/>
              </w:rPr>
              <w:t>F1</w:t>
            </w:r>
          </w:p>
        </w:tc>
        <w:tc>
          <w:tcPr>
            <w:tcW w:type="dxa" w:w="1511"/>
          </w:tcPr>
          <w:p>
            <w:pPr>
              <w:jc w:val="center"/>
            </w:pPr>
            <w:r>
              <w:rPr>
                <w:b/>
                <w:i w:val="0"/>
                <w:sz w:val="22"/>
              </w:rPr>
              <w:t>mAP@0.5</w:t>
            </w:r>
          </w:p>
        </w:tc>
        <w:tc>
          <w:tcPr>
            <w:tcW w:type="dxa" w:w="1511"/>
          </w:tcPr>
          <w:p>
            <w:pPr>
              <w:jc w:val="center"/>
            </w:pPr>
            <w:r>
              <w:rPr>
                <w:b/>
                <w:i w:val="0"/>
                <w:sz w:val="22"/>
              </w:rPr>
              <w:t>Mean IoU</w:t>
            </w:r>
          </w:p>
        </w:tc>
      </w:tr>
      <w:tr>
        <w:tc>
          <w:tcPr>
            <w:tcW w:type="dxa" w:w="1511"/>
          </w:tcPr>
          <w:p>
            <w:pPr>
              <w:jc w:val="center"/>
            </w:pPr>
            <w:r>
              <w:rPr>
                <w:b w:val="0"/>
                <w:i w:val="0"/>
                <w:sz w:val="22"/>
              </w:rPr>
              <w:t>YOLOv8s</w:t>
            </w:r>
          </w:p>
        </w:tc>
        <w:tc>
          <w:tcPr>
            <w:tcW w:type="dxa" w:w="1511"/>
          </w:tcPr>
          <w:p>
            <w:pPr>
              <w:jc w:val="center"/>
            </w:pPr>
            <w:r>
              <w:rPr>
                <w:b/>
                <w:i w:val="0"/>
                <w:sz w:val="22"/>
              </w:rPr>
              <w:t>0.9182</w:t>
            </w:r>
          </w:p>
        </w:tc>
        <w:tc>
          <w:tcPr>
            <w:tcW w:type="dxa" w:w="1511"/>
          </w:tcPr>
          <w:p>
            <w:pPr>
              <w:jc w:val="center"/>
            </w:pPr>
            <w:r>
              <w:rPr>
                <w:b/>
                <w:i w:val="0"/>
                <w:sz w:val="22"/>
              </w:rPr>
              <w:t>0.9155</w:t>
            </w:r>
          </w:p>
        </w:tc>
        <w:tc>
          <w:tcPr>
            <w:tcW w:type="dxa" w:w="1511"/>
          </w:tcPr>
          <w:p>
            <w:pPr>
              <w:jc w:val="center"/>
            </w:pPr>
            <w:r>
              <w:rPr>
                <w:b/>
                <w:i w:val="0"/>
                <w:sz w:val="22"/>
              </w:rPr>
              <w:t>0.9169</w:t>
            </w:r>
          </w:p>
        </w:tc>
        <w:tc>
          <w:tcPr>
            <w:tcW w:type="dxa" w:w="1511"/>
          </w:tcPr>
          <w:p>
            <w:pPr>
              <w:jc w:val="center"/>
            </w:pPr>
            <w:r>
              <w:rPr>
                <w:b/>
                <w:i w:val="0"/>
                <w:sz w:val="22"/>
              </w:rPr>
              <w:t>0.9467</w:t>
            </w:r>
          </w:p>
        </w:tc>
        <w:tc>
          <w:tcPr>
            <w:tcW w:type="dxa" w:w="1511"/>
          </w:tcPr>
          <w:p>
            <w:pPr>
              <w:jc w:val="center"/>
            </w:pPr>
            <w:r>
              <w:rPr>
                <w:b w:val="0"/>
                <w:i w:val="0"/>
                <w:sz w:val="22"/>
              </w:rPr>
              <w:t>—</w:t>
            </w:r>
          </w:p>
        </w:tc>
      </w:tr>
      <w:tr>
        <w:tc>
          <w:tcPr>
            <w:tcW w:type="dxa" w:w="1511"/>
          </w:tcPr>
          <w:p>
            <w:pPr>
              <w:jc w:val="center"/>
            </w:pPr>
            <w:r>
              <w:rPr>
                <w:b w:val="0"/>
                <w:i w:val="0"/>
                <w:sz w:val="22"/>
              </w:rPr>
              <w:t>RetinaNet (ResNet50-FPN v2)</w:t>
            </w:r>
          </w:p>
        </w:tc>
        <w:tc>
          <w:tcPr>
            <w:tcW w:type="dxa" w:w="1511"/>
          </w:tcPr>
          <w:p>
            <w:pPr>
              <w:jc w:val="center"/>
            </w:pPr>
            <w:r>
              <w:rPr>
                <w:b w:val="0"/>
                <w:i w:val="0"/>
                <w:sz w:val="22"/>
              </w:rPr>
              <w:t>0.8667</w:t>
            </w:r>
          </w:p>
        </w:tc>
        <w:tc>
          <w:tcPr>
            <w:tcW w:type="dxa" w:w="1511"/>
          </w:tcPr>
          <w:p>
            <w:pPr>
              <w:jc w:val="center"/>
            </w:pPr>
            <w:r>
              <w:rPr>
                <w:b w:val="0"/>
                <w:i w:val="0"/>
                <w:sz w:val="22"/>
              </w:rPr>
              <w:t>0.9155</w:t>
            </w:r>
          </w:p>
        </w:tc>
        <w:tc>
          <w:tcPr>
            <w:tcW w:type="dxa" w:w="1511"/>
          </w:tcPr>
          <w:p>
            <w:pPr>
              <w:jc w:val="center"/>
            </w:pPr>
            <w:r>
              <w:rPr>
                <w:b w:val="0"/>
                <w:i w:val="0"/>
                <w:sz w:val="22"/>
              </w:rPr>
              <w:t>0.8904</w:t>
            </w:r>
          </w:p>
        </w:tc>
        <w:tc>
          <w:tcPr>
            <w:tcW w:type="dxa" w:w="1511"/>
          </w:tcPr>
          <w:p>
            <w:pPr>
              <w:jc w:val="center"/>
            </w:pPr>
            <w:r>
              <w:rPr>
                <w:b w:val="0"/>
                <w:i w:val="0"/>
                <w:sz w:val="22"/>
              </w:rPr>
              <w:t>—</w:t>
            </w:r>
          </w:p>
        </w:tc>
        <w:tc>
          <w:tcPr>
            <w:tcW w:type="dxa" w:w="1511"/>
          </w:tcPr>
          <w:p>
            <w:pPr>
              <w:jc w:val="center"/>
            </w:pPr>
            <w:r>
              <w:rPr>
                <w:b w:val="0"/>
                <w:i w:val="0"/>
                <w:sz w:val="22"/>
              </w:rPr>
              <w:t>0.7823</w:t>
            </w:r>
          </w:p>
        </w:tc>
      </w:tr>
      <w:tr>
        <w:tc>
          <w:tcPr>
            <w:tcW w:type="dxa" w:w="1511"/>
          </w:tcPr>
          <w:p>
            <w:pPr>
              <w:jc w:val="center"/>
            </w:pPr>
            <w:r>
              <w:rPr>
                <w:b w:val="0"/>
                <w:i w:val="0"/>
                <w:sz w:val="22"/>
              </w:rPr>
              <w:t>Faster R-CNN (ResNet50-FPN)</w:t>
            </w:r>
          </w:p>
        </w:tc>
        <w:tc>
          <w:tcPr>
            <w:tcW w:type="dxa" w:w="1511"/>
          </w:tcPr>
          <w:p>
            <w:pPr>
              <w:jc w:val="center"/>
            </w:pPr>
            <w:r>
              <w:rPr>
                <w:b w:val="0"/>
                <w:i w:val="0"/>
                <w:sz w:val="22"/>
              </w:rPr>
              <w:t>0.8732</w:t>
            </w:r>
          </w:p>
        </w:tc>
        <w:tc>
          <w:tcPr>
            <w:tcW w:type="dxa" w:w="1511"/>
          </w:tcPr>
          <w:p>
            <w:pPr>
              <w:jc w:val="center"/>
            </w:pPr>
            <w:r>
              <w:rPr>
                <w:b w:val="0"/>
                <w:i w:val="0"/>
                <w:sz w:val="22"/>
              </w:rPr>
              <w:t>0.8732</w:t>
            </w:r>
          </w:p>
        </w:tc>
        <w:tc>
          <w:tcPr>
            <w:tcW w:type="dxa" w:w="1511"/>
          </w:tcPr>
          <w:p>
            <w:pPr>
              <w:jc w:val="center"/>
            </w:pPr>
            <w:r>
              <w:rPr>
                <w:b w:val="0"/>
                <w:i w:val="0"/>
                <w:sz w:val="22"/>
              </w:rPr>
              <w:t>0.8732</w:t>
            </w:r>
          </w:p>
        </w:tc>
        <w:tc>
          <w:tcPr>
            <w:tcW w:type="dxa" w:w="1511"/>
          </w:tcPr>
          <w:p>
            <w:pPr>
              <w:jc w:val="center"/>
            </w:pPr>
            <w:r>
              <w:rPr>
                <w:b w:val="0"/>
                <w:i w:val="0"/>
                <w:sz w:val="22"/>
              </w:rPr>
              <w:t>—</w:t>
            </w:r>
          </w:p>
        </w:tc>
        <w:tc>
          <w:tcPr>
            <w:tcW w:type="dxa" w:w="1511"/>
          </w:tcPr>
          <w:p>
            <w:pPr>
              <w:jc w:val="center"/>
            </w:pPr>
            <w:r>
              <w:rPr>
                <w:b w:val="0"/>
                <w:i w:val="0"/>
                <w:sz w:val="22"/>
              </w:rPr>
              <w:t>0.7839</w:t>
            </w:r>
          </w:p>
        </w:tc>
      </w:tr>
    </w:tbl>
    <w:p/>
    <w:p>
      <w:pPr>
        <w:spacing w:after="120" w:before="0"/>
      </w:pPr>
      <w:r>
        <w:rPr>
          <w:b w:val="0"/>
          <w:i w:val="0"/>
          <w:sz w:val="22"/>
        </w:rPr>
        <w:t>Table 1. Test set evaluation results. Bold values indicate the best score per column. All metrics computed at IoU threshold 0.5.</w:t>
      </w:r>
    </w:p>
    <w:p>
      <w:pPr>
        <w:spacing w:before="360" w:after="80"/>
        <w:pBdr>
          <w:bottom w:val="single" w:sz="6" w:space="1" w:color="006AA6"/>
        </w:pBdr>
      </w:pPr>
      <w:r>
        <w:rPr>
          <w:b/>
          <w:i w:val="0"/>
          <w:color w:val="006AA6"/>
          <w:sz w:val="26"/>
        </w:rPr>
        <w:t>5. ANALYSIS AND DISCUSSION</w:t>
      </w:r>
    </w:p>
    <w:p>
      <w:pPr>
        <w:spacing w:before="200" w:after="40"/>
      </w:pPr>
      <w:r>
        <w:rPr>
          <w:b/>
          <w:i w:val="0"/>
          <w:color w:val="006AA6"/>
          <w:sz w:val="22"/>
        </w:rPr>
        <w:t>5.1 Why YOLOv8s performed best</w:t>
      </w:r>
    </w:p>
    <w:p>
      <w:pPr>
        <w:spacing w:after="120" w:before="0"/>
      </w:pPr>
      <w:r>
        <w:rPr>
          <w:b w:val="0"/>
          <w:i w:val="0"/>
          <w:sz w:val="22"/>
        </w:rPr>
        <w:t>YOLOv8s achieved the highest F1 (0.917) and the only reported mAP@0.5 (0.947) on this dataset. Two factors explain this:</w:t>
      </w:r>
    </w:p>
    <w:p>
      <w:pPr>
        <w:pStyle w:val="ListBullet"/>
        <w:spacing w:after="60"/>
        <w:ind w:left="432"/>
      </w:pPr>
      <w:r>
        <w:rPr>
          <w:b w:val="0"/>
          <w:i w:val="0"/>
          <w:sz w:val="22"/>
        </w:rPr>
        <w:t>Single-stage efficiency on small data: The two-stage pipeline of Faster R-CNN is designed to benefit from large, diverse datasets where the RPN can learn rich region proposals. With only 303 training images, Faster R-CNN cannot fully leverage its two-stage design. YOLOv8's end-to-end single-pass prediction is more parameter-efficient at this scale.</w:t>
      </w:r>
    </w:p>
    <w:p>
      <w:pPr>
        <w:pStyle w:val="ListBullet"/>
        <w:spacing w:after="60"/>
        <w:ind w:left="432"/>
      </w:pPr>
      <w:r>
        <w:rPr>
          <w:b w:val="0"/>
          <w:i w:val="0"/>
          <w:sz w:val="22"/>
        </w:rPr>
        <w:t>Superior built-in augmentation: YOLOv8 internally applies mosaic augmentation (tiling four images into one) and mixup. This effectively multiplies the training data and exposes the model to more varied compositions. Our custom augmentation for the other two models was strong but did not replicate this.</w:t>
      </w:r>
    </w:p>
    <w:p>
      <w:pPr>
        <w:spacing w:before="200" w:after="40"/>
      </w:pPr>
      <w:r>
        <w:rPr>
          <w:b/>
          <w:i w:val="0"/>
          <w:color w:val="006AA6"/>
          <w:sz w:val="22"/>
        </w:rPr>
        <w:t>5.2 Why RetinaNet outperformed Faster R-CNN</w:t>
      </w:r>
    </w:p>
    <w:p>
      <w:pPr>
        <w:spacing w:after="120" w:before="0"/>
      </w:pPr>
      <w:r>
        <w:rPr>
          <w:b w:val="0"/>
          <w:i w:val="0"/>
          <w:sz w:val="22"/>
        </w:rPr>
        <w:t>Despite similar ResNet50-FPN v2 backbones, RetinaNet (F1=0.890) beat Faster R-CNN (F1=0.873) by 1.7 points. The key difference is Focal Loss. In licence plate detection most of each image is background — a dense detector without focal loss wastes gradient signal on easy background patches. Focal Loss suppresses these, making learning more efficient on the small dataset.</w:t>
      </w:r>
    </w:p>
    <w:p>
      <w:pPr>
        <w:spacing w:before="200" w:after="40"/>
      </w:pPr>
      <w:r>
        <w:rPr>
          <w:b/>
          <w:i w:val="0"/>
          <w:color w:val="006AA6"/>
          <w:sz w:val="22"/>
        </w:rPr>
        <w:t>5.3 The importance of the right early stopping metric</w:t>
      </w:r>
    </w:p>
    <w:p>
      <w:pPr>
        <w:spacing w:after="120" w:before="0"/>
      </w:pPr>
      <w:r>
        <w:rPr>
          <w:b w:val="0"/>
          <w:i w:val="0"/>
          <w:sz w:val="22"/>
        </w:rPr>
        <w:t>Early RetinaNet experiments used validation loss as the early stopping criterion. Validation loss plateaued after ~20 epochs while the model's actual F1 was still improving. Switching to val-F1 early stopping raised RetinaNet from F1=0.832 (run 1) to F1=0.890 (final run) — a +5.8 point gain with no architectural changes. This illustrates a general lesson: for detection tasks, optimise directly for the metric you care about.</w:t>
      </w:r>
    </w:p>
    <w:p>
      <w:pPr>
        <w:spacing w:before="200" w:after="40"/>
      </w:pPr>
      <w:r>
        <w:rPr>
          <w:b/>
          <w:i w:val="0"/>
          <w:color w:val="006AA6"/>
          <w:sz w:val="22"/>
        </w:rPr>
        <w:t>5.4 Precision = Recall for Faster R-CNN</w:t>
      </w:r>
    </w:p>
    <w:p>
      <w:pPr>
        <w:spacing w:after="120" w:before="0"/>
      </w:pPr>
      <w:r>
        <w:rPr>
          <w:b w:val="0"/>
          <w:i w:val="0"/>
          <w:sz w:val="22"/>
        </w:rPr>
        <w:t>Faster R-CNN returned identical Precision, Recall, and F1 (0.8732). This is a numerical coincidence: at the chosen confidence threshold of 0.5, the model produced exactly as many false positives as false negatives on the 66-image test set. It is not indicative of a perfectly balanced model — different thresholds produce different P/R values.</w:t>
      </w:r>
    </w:p>
    <w:p>
      <w:pPr>
        <w:spacing w:before="360" w:after="80"/>
        <w:pBdr>
          <w:bottom w:val="single" w:sz="6" w:space="1" w:color="006AA6"/>
        </w:pBdr>
      </w:pPr>
      <w:r>
        <w:rPr>
          <w:b/>
          <w:i w:val="0"/>
          <w:color w:val="006AA6"/>
          <w:sz w:val="26"/>
        </w:rPr>
        <w:t>6. CONCLUSION</w:t>
      </w:r>
    </w:p>
    <w:p>
      <w:pPr>
        <w:spacing w:after="120" w:before="0"/>
      </w:pPr>
      <w:r>
        <w:rPr>
          <w:b w:val="0"/>
          <w:i w:val="0"/>
          <w:sz w:val="22"/>
        </w:rPr>
        <w:t>We compared three object detection architectures for licence plate localisation on a 433-image dataset. YOLOv8s is the clear winner: highest F1 (0.917), highest mAP@0.5 (0.947), fastest inference, and smallest model size (21 MB). It is the recommended choice for any real-world deployment of this task.</w:t>
      </w:r>
    </w:p>
    <w:p>
      <w:pPr>
        <w:spacing w:after="120" w:before="0"/>
      </w:pPr>
      <w:r>
        <w:rPr>
          <w:b w:val="0"/>
          <w:i w:val="0"/>
          <w:sz w:val="22"/>
        </w:rPr>
        <w:t>RetinaNet (F1=0.890) ranks second, demonstrating that focal loss is a meaningful advantage over the two-stage RPN approach (Faster R-CNN, F1=0.873) on small datasets with high class imbalance.</w:t>
      </w:r>
    </w:p>
    <w:p>
      <w:pPr>
        <w:spacing w:after="120" w:before="0"/>
      </w:pPr>
      <w:r>
        <w:rPr>
          <w:b w:val="0"/>
          <w:i w:val="0"/>
          <w:sz w:val="22"/>
        </w:rPr>
        <w:t>Key lessons from this project:</w:t>
      </w:r>
    </w:p>
    <w:p>
      <w:pPr>
        <w:pStyle w:val="ListBullet"/>
        <w:spacing w:after="60"/>
        <w:ind w:left="432"/>
      </w:pPr>
      <w:r>
        <w:rPr>
          <w:b w:val="0"/>
          <w:i w:val="0"/>
          <w:sz w:val="22"/>
        </w:rPr>
        <w:t>Architecture choice matters more than hyperparameter tuning for small datasets.</w:t>
      </w:r>
    </w:p>
    <w:p>
      <w:pPr>
        <w:pStyle w:val="ListBullet"/>
        <w:spacing w:after="60"/>
        <w:ind w:left="432"/>
      </w:pPr>
      <w:r>
        <w:rPr>
          <w:b w:val="0"/>
          <w:i w:val="0"/>
          <w:sz w:val="22"/>
        </w:rPr>
        <w:t>Focal loss is valuable whenever background patches vastly outnumber foreground objects.</w:t>
      </w:r>
    </w:p>
    <w:p>
      <w:pPr>
        <w:pStyle w:val="ListBullet"/>
        <w:spacing w:after="60"/>
        <w:ind w:left="432"/>
      </w:pPr>
      <w:r>
        <w:rPr>
          <w:b w:val="0"/>
          <w:i w:val="0"/>
          <w:sz w:val="22"/>
        </w:rPr>
        <w:t>Early stopping should track the evaluation metric directly (F1), not a proxy (loss).</w:t>
      </w:r>
    </w:p>
    <w:p>
      <w:pPr>
        <w:pStyle w:val="ListBullet"/>
        <w:spacing w:after="60"/>
        <w:ind w:left="432"/>
      </w:pPr>
      <w:r>
        <w:rPr>
          <w:b w:val="0"/>
          <w:i w:val="0"/>
          <w:sz w:val="22"/>
        </w:rPr>
        <w:t>Single-stage detectors with strong built-in augmentation are highly competitive on limited data.</w:t>
      </w:r>
    </w:p>
    <w:p>
      <w:pPr>
        <w:spacing w:after="120" w:before="0"/>
      </w:pPr>
      <w:r>
        <w:rPr>
          <w:b w:val="0"/>
          <w:i w:val="0"/>
          <w:sz w:val="22"/>
        </w:rPr>
        <w:t>Future work could extend this pipeline with an OCR stage to read the detected plate text, apply model quantisation to reduce weight sizes for mobile deployment, or collect a larger and more diverse dataset to close the gap with two-stage detectors.</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