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FICHA DE MONITOREO A ESPECIALISTA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NIVEL/MODALIDAD: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DATOS DEL MONITOREADO:</w:t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255"/>
        <w:gridCol w:w="1275"/>
        <w:gridCol w:w="1095"/>
        <w:gridCol w:w="105"/>
        <w:gridCol w:w="2430"/>
        <w:gridCol w:w="105"/>
        <w:gridCol w:w="1275"/>
        <w:gridCol w:w="3180"/>
        <w:tblGridChange w:id="0">
          <w:tblGrid>
            <w:gridCol w:w="540"/>
            <w:gridCol w:w="255"/>
            <w:gridCol w:w="1275"/>
            <w:gridCol w:w="1095"/>
            <w:gridCol w:w="105"/>
            <w:gridCol w:w="2430"/>
            <w:gridCol w:w="105"/>
            <w:gridCol w:w="1275"/>
            <w:gridCol w:w="31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DNI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NOMBRES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APELLIDOS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UGEL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DATOS DEL MONITOR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</w:t>
      </w:r>
    </w:p>
    <w:tbl>
      <w:tblPr>
        <w:tblStyle w:val="Table2"/>
        <w:tblW w:w="102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514"/>
        <w:gridCol w:w="1180"/>
        <w:gridCol w:w="2551"/>
        <w:gridCol w:w="1276"/>
        <w:gridCol w:w="3162"/>
        <w:tblGridChange w:id="0">
          <w:tblGrid>
            <w:gridCol w:w="567"/>
            <w:gridCol w:w="1514"/>
            <w:gridCol w:w="1180"/>
            <w:gridCol w:w="2551"/>
            <w:gridCol w:w="1276"/>
            <w:gridCol w:w="31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DNI: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NOMBRES: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1F">
            <w:pPr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APELLIDOS: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FECHA Y DURACIÓN DE LA APLICACIÓN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</w:t>
      </w:r>
    </w:p>
    <w:tbl>
      <w:tblPr>
        <w:tblStyle w:val="Table3"/>
        <w:tblW w:w="10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880"/>
        <w:gridCol w:w="1425"/>
        <w:gridCol w:w="1635"/>
        <w:gridCol w:w="1260"/>
        <w:gridCol w:w="2205"/>
        <w:tblGridChange w:id="0">
          <w:tblGrid>
            <w:gridCol w:w="840"/>
            <w:gridCol w:w="2880"/>
            <w:gridCol w:w="1425"/>
            <w:gridCol w:w="1635"/>
            <w:gridCol w:w="1260"/>
            <w:gridCol w:w="22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f7f7f" w:val="clear"/>
          </w:tcPr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6090"/>
        <w:gridCol w:w="1185"/>
        <w:gridCol w:w="2685"/>
        <w:tblGridChange w:id="0">
          <w:tblGrid>
            <w:gridCol w:w="495"/>
            <w:gridCol w:w="6090"/>
            <w:gridCol w:w="1185"/>
            <w:gridCol w:w="2685"/>
          </w:tblGrid>
        </w:tblGridChange>
      </w:tblGrid>
      <w:tr>
        <w:trPr>
          <w:trHeight w:val="729" w:hRule="atLeast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A) Especialistas fortalecen capacidades a directivos y docentes para la ejecución del trabajo a distancia y educación virtual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Participa del fortalecimiento de capacidades organizadas por la DREP u otras instituciones para fortalecer el uso de entornos virtuales.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Promueve comunidades virtuales de aprendizaje con directivos y/o docentes a fin de fortalecer la gestión institucional y/o las capacidades pedagógicas.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Utiliza herramientas virtuales Google Workspace (Classroom) y otros en el trabajo con directivos y/o docentes para el fortalecimiento de la gestión institucional y/o las capacidades pedagógicas.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monitoreo y asistencia técnica a directivos y/o docentes en el uso de Google Workspace (Classroom) y otros.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B)  Especialistas desarrollan soporte socioemocional a directivos y docentes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rPr>
          <w:trHeight w:val="519" w:hRule="atLeast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pos="4635"/>
              </w:tabs>
              <w:rPr>
                <w:rFonts w:ascii="Arial Narrow" w:cs="Arial Narrow" w:eastAsia="Arial Narrow" w:hAnsi="Arial Narrow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Participa de las actividades de soporte socioemocional organizadas por la DREP u otras instituciones.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Desarrolla actividades de soporte socioemocional a directivos  y/o docentes en reuniones, jornadas de trabajo, asistencias técnicas u otros.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pos="4635"/>
              </w:tabs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en directores y docentes el uso de estrategias para el acompañamiento socioafectivo y cognitivo en los estudiantes.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pos="4635"/>
              </w:tabs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monitoreo a directivos y/o docentes acerca del desarrollo de actividades de soporte socioemocional en el marco del diálogo reflexivo.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C) Especialistas implementan a directivos y docentes en el “Aprendizaje Basado en Proyectos”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Participa del fortalecimiento de capacidades organizadas por la DREP u otras instituciones para implementar el “Aprendizaje Basado en Proyectos”.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fortalecimiento de capacidades a directivos y/o docentes sobre el “Aprendizaje Basado en Proyectos”.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fortalecimiento de capacidades a directivos y/o docentes sobre la mediación y evaluación del “Aprendizaje Basado en Proyectos”.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2" w:hRule="atLeast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white"/>
                <w:rtl w:val="0"/>
              </w:rPr>
              <w:t xml:space="preserve">Realiza monitoreo y asistencia técnica a directivos y/o docentes en el “Aprendizaje Basado en Proyectos”.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D) Especialistas implementan acciones de prevención y cuidados frente a la COVID-19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Participa del fortalecimiento de capacidades sobre la prevención y cuidado de la COVID – 19.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highlight w:val="whit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Considera en su plan de trabajo, estrategias para el cuidado y prevención frente a la COVID -19.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orientaciones a directivos y/o docentes sobre la prevención y cuidado frente a la COVID -19.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Nº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E) Especialistas implementan actividades complementarias para fortalecer la estrategia “Aprendo en casa”.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Participa en las jornadas pedagógicas organizadas por la DREP u otras instituciones sobre planificación, mediación y evaluación formativa.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el fortalecimiento dirigido a directivos y/o docentes en planificación, mediación y evaluación formativa.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Efectúa el fortalecimiento en la diversificación de las experiencias de aprendizaje de “Aprendo en casa” vinculandola con el uso de recursos tecnológicos como gestor de contenidos, aplicativos y utilitarios de las tabletas.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" w:hRule="atLeast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Efectúa acciones para garantizar que los docentes desarrollen los cursos del “Programa Nacional para la mejora  de los aprendizajes”.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Fortalece a directivos y/o docentes sobre la implementación y desarrollo del “Plan lector” y “Leemos juntos”.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Orienta a directivos y docentes modelando sobre los componentes de las experiencias de aprendizaje para el desarrollo de las competencias, promoviendo la integración de las áreas curriculares.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espacios de intercambio de experiencias de aprendizaje innovadoras y creativas en el marco inclusivo e intercultural a directivos y docentes.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asistencia técnica sobre el “Acompañamiento del aprendizaje” a directivos y docentes a través de GIAs, talleres virtuales u otros.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la aplicación de estrategias de mediación para el desarrollo de competencias  a directivos y/o docentes, permitiéndoles reflexionar y ajustar su práctica pedagógica.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Brinda orientaciones sobre la evaluación para el aprendizaje referidos a formulación de criterios, instrumentos y retroalimentación.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Realiza orientaciones sobre la evaluación del aprendizaje de acuerdo a la normativa nacional con fines de promoción y certificación de los aprendizajes.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Efectúa el monitoreo y la asistencia técnica de los procesos curriculares y didácticos para el desarrollo de experiencias de aprendizaje en el marco del diálogo reflexivo.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</w:tcPr>
          <w:p w:rsidR="00000000" w:rsidDel="00000000" w:rsidP="00000000" w:rsidRDefault="00000000" w:rsidRPr="00000000" w14:paraId="000000A9">
            <w:pPr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N°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pos="4635"/>
              </w:tabs>
              <w:jc w:val="both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F) Especialistas implementan la construcción de una ciudadanía más allá del bicentenario. 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Si/No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rtl w:val="0"/>
              </w:rPr>
              <w:t xml:space="preserve">Evidencias/observación</w:t>
            </w:r>
          </w:p>
        </w:tc>
      </w:tr>
      <w:tr>
        <w:trPr>
          <w:trHeight w:val="25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line="264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Impulsa la participación de los diferentes actores  educativos en el desarrollo de actividades por el Bicentenario de nuestra independencia.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line="264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Promueve la ejecución de diversas actividades con participación estudiantil con el objetivo de reflexionar sobre el Bicentenario de nuestra independencia.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7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line="264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Fomenta espacios de análisis y reflexión con participación de las autoridades e instituciones de la sociedad civil para establecer  compromisos desde el Bicentenario.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 Narrow" w:cs="Arial Narrow" w:eastAsia="Arial Narrow" w:hAnsi="Arial Narro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CONSOLIDADO DE ASPECTOS Y % DE AVANCE DEL DESEMPEÑO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"/>
        <w:gridCol w:w="1295"/>
        <w:gridCol w:w="1295"/>
        <w:gridCol w:w="1294"/>
        <w:gridCol w:w="1294"/>
        <w:gridCol w:w="1294"/>
        <w:gridCol w:w="1294"/>
        <w:gridCol w:w="1294"/>
        <w:tblGridChange w:id="0">
          <w:tblGrid>
            <w:gridCol w:w="1295"/>
            <w:gridCol w:w="1295"/>
            <w:gridCol w:w="1295"/>
            <w:gridCol w:w="1294"/>
            <w:gridCol w:w="1294"/>
            <w:gridCol w:w="1294"/>
            <w:gridCol w:w="1294"/>
            <w:gridCol w:w="12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ASPECTOS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% de Avance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Desempeño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851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Fonts w:ascii="Arial Narrow" w:cs="Arial Narrow" w:eastAsia="Arial Narrow" w:hAnsi="Arial Narrow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sz w:val="16"/>
        <w:szCs w:val="16"/>
      </w:rPr>
      <w:drawing>
        <wp:inline distB="0" distT="0" distL="0" distR="0">
          <wp:extent cx="337789" cy="3143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21192" t="0"/>
                  <a:stretch>
                    <a:fillRect/>
                  </a:stretch>
                </pic:blipFill>
                <pic:spPr>
                  <a:xfrm>
                    <a:off x="0" y="0"/>
                    <a:ext cx="337789" cy="314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6511925" cy="45529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11925" cy="4552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rFonts w:ascii="Arial Narrow" w:cs="Arial Narrow" w:eastAsia="Arial Narrow" w:hAnsi="Arial Narrow"/>
        <w:color w:val="000000"/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