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rPr>
        <w:t>AAIS Clean Copy for the Project Infi AI OS Plan</w:t>
      </w:r>
    </w:p>
    <w:p>
      <w:r>
        <w:t>Purpose: keep only the AAIS material needed for the stripped current-file AI OS plan. This copy removes distro-specific planning and treats AAIS as the authority, governance, module, memory, and operator layer for the OS path.</w:t>
      </w:r>
    </w:p>
    <w:p>
      <w:pPr>
        <w:pStyle w:val="Heading1"/>
      </w:pPr>
      <w:r>
        <w:rPr>
          <w:b/>
          <w:sz w:val="26"/>
        </w:rPr>
        <w:t>Core Role</w:t>
      </w:r>
    </w:p>
    <w:p>
      <w:r>
        <w:t>- AAIS is the canonical organismic control layer: authority, memory, governance, run ledger, review/apply flow, and local-first operator shell.</w:t>
      </w:r>
    </w:p>
    <w:p>
      <w:r>
        <w:t>- Jarvis remains the runtime authority. Nova can interpret and present, but Jarvis authorizes routing, tool execution, and repo mutation.</w:t>
      </w:r>
    </w:p>
    <w:p>
      <w:r>
        <w:t>- Project Infi law governs entry, action, outcome, and record through a verified cycle rather than ad hoc execution.</w:t>
      </w:r>
    </w:p>
    <w:p>
      <w:r>
        <w:t>- The clean AI OS plan should use AAIS as the law-bearing daemon or service spine above the minimal substrate.</w:t>
      </w:r>
    </w:p>
    <w:p>
      <w:pPr>
        <w:pStyle w:val="Heading1"/>
      </w:pPr>
      <w:r>
        <w:rPr>
          <w:b/>
          <w:sz w:val="26"/>
        </w:rPr>
        <w:t>Keep For OS Plan</w:t>
      </w:r>
    </w:p>
    <w:p>
      <w:r>
        <w:t>- Jarvis runtime authority: routing, state, turn contracts, provider selection, finalization, and anti-drift integration.</w:t>
      </w:r>
    </w:p>
    <w:p>
      <w:r>
        <w:t>- Project Infi governed behavior: truth guard, adaptive TTL/Chronos wait handling, lawful rejection, degradation, fracture handling, and carryover state across cycles.</w:t>
      </w:r>
    </w:p>
    <w:p>
      <w:r>
        <w:t>- Memory Bank and Mission Board: persistent context, intent continuity, and mission-level state that can become OS services.</w:t>
      </w:r>
    </w:p>
    <w:p>
      <w:r>
        <w:t>- Module Governance and Immune System: admission, monitoring, isolation, quarantine, reporting, and resolution for modules.</w:t>
      </w:r>
    </w:p>
    <w:p>
      <w:r>
        <w:t>- CISIV gate: Concept, Identity, Structure, Implementation, Verification. No module is complete until verification evidence exists.</w:t>
      </w:r>
    </w:p>
    <w:p>
      <w:r>
        <w:t>- Capability Module contract: sealed translator between governed AAIS intent and external tools/APIs/file systems/providers.</w:t>
      </w:r>
    </w:p>
    <w:p>
      <w:r>
        <w:t>- Deterministic result shape: normalized success objects, deterministic failure objects, known error taxonomy, and no raw provider exceptions crossing inward.</w:t>
      </w:r>
    </w:p>
    <w:p>
      <w:r>
        <w:t>- Forge and ForgeEval: governed contractor/evaluator lanes for review-aware code/document changes, bounded by Jarvis and Project Infi law.</w:t>
      </w:r>
    </w:p>
    <w:p>
      <w:r>
        <w:t>- EvolveEngine, OTEM, V9/V10: keep as bounded lanes, not root authority.</w:t>
      </w:r>
    </w:p>
    <w:p>
      <w:pPr>
        <w:pStyle w:val="Heading1"/>
      </w:pPr>
      <w:r>
        <w:rPr>
          <w:b/>
          <w:sz w:val="26"/>
        </w:rPr>
        <w:t>Strip Or Defer</w:t>
      </w:r>
    </w:p>
    <w:p>
      <w:r>
        <w:t>- Do not anchor this plan to a specific ISO, or any distro-specific remaster steps.</w:t>
      </w:r>
    </w:p>
    <w:p>
      <w:r>
        <w:t>- Do not import archived duplicates as current truth. AAIS-main wins when files conflict.</w:t>
      </w:r>
    </w:p>
    <w:p>
      <w:r>
        <w:t>- Do not promote separate workspaces such as NVIDIA, mystic, jarvis, Ui jarvis, or Spiral into canonical AAIS runtime truth.</w:t>
      </w:r>
    </w:p>
    <w:p>
      <w:r>
        <w:t>- Do not let Nova own mutation, tool execution, or authority. Nova stays presentation/companion/intake unless explicitly promoted later.</w:t>
      </w:r>
    </w:p>
    <w:p>
      <w:r>
        <w:t>- Do not keep old cloud/enterprise/deployment docs in the OS core unless they directly support the current local-first runtime.</w:t>
      </w:r>
    </w:p>
    <w:p>
      <w:pPr>
        <w:pStyle w:val="Heading1"/>
      </w:pPr>
      <w:r>
        <w:rPr>
          <w:b/>
          <w:sz w:val="26"/>
        </w:rPr>
        <w:t>Module Admission Rule</w:t>
      </w:r>
    </w:p>
    <w:p>
      <w:r>
        <w:t>A module may enter the AI OS only when its purpose is bounded, its input and output contracts are explicit, its failure paths are deterministic, its privacy behavior is compliant, and CISIV verification evidence exists.</w:t>
      </w:r>
    </w:p>
    <w:p>
      <w:pPr>
        <w:pStyle w:val="Heading1"/>
      </w:pPr>
      <w:r>
        <w:rPr>
          <w:b/>
          <w:sz w:val="26"/>
        </w:rPr>
        <w:t>Runtime Boundary Contract</w:t>
      </w:r>
    </w:p>
    <w:p>
      <w:r>
        <w:rPr>
          <w:rFonts w:ascii="Consolas" w:hAnsi="Consolas"/>
        </w:rPr>
        <w:t xml:space="preserve">AAIS intent -&gt; Capability Module -&gt; External Provider -&gt; AAIS-native result</w:t>
      </w:r>
    </w:p>
    <w:p>
      <w:r>
        <w:t>- The capability module is the only allowed boundary between AAIS and APIs, local tools, file systems, external engines, or model providers.</w:t>
      </w:r>
    </w:p>
    <w:p>
      <w:r>
        <w:t>- Boundary guard catches network, file, API, timeout, permission, and provider failures.</w:t>
      </w:r>
    </w:p>
    <w:p>
      <w:r>
        <w:t>- Semantic guard rejects malformed results, missing fields, empty content, schema violations, and unsupported formats.</w:t>
      </w:r>
    </w:p>
    <w:p>
      <w:pPr>
        <w:pStyle w:val="Heading1"/>
      </w:pPr>
      <w:r>
        <w:rPr>
          <w:b/>
          <w:sz w:val="26"/>
        </w:rPr>
        <w:t>AI OS Mapping</w:t>
      </w:r>
    </w:p>
    <w:p>
      <w:r>
        <w:t>- AAIS daemon/service: authority, law, mission, memory, governance, capability boundary, ledger.</w:t>
      </w:r>
    </w:p>
    <w:p>
      <w:r>
        <w:t>- AAIS modules: installable governed capabilities with manifests, tests, and CISIV stamps.</w:t>
      </w:r>
    </w:p>
    <w:p>
      <w:r>
        <w:t>- AAIS logs: runtime event logs, judgment logs, debt/state admission logs, legitimacy records, and verification evidence.</w:t>
      </w:r>
    </w:p>
    <w:p>
      <w:r>
        <w:t>- AAIS shell: local operator surface for command, review, approval, trace, and recovery.</w:t>
      </w:r>
    </w:p>
    <w:p>
      <w:pPr>
        <w:pStyle w:val="Heading1"/>
      </w:pPr>
      <w:r>
        <w:rPr>
          <w:b/>
          <w:sz w:val="26"/>
        </w:rPr>
        <w:t>Source Files Used</w:t>
      </w:r>
    </w:p>
    <w:p>
      <w:r>
        <w:t>- E:\project infi\AAIS-main\docs\spine\AAIS_MASTER_SPEC.md</w:t>
      </w:r>
    </w:p>
    <w:p>
      <w:r>
        <w:t>- E:\project infi\AAIS-main\docs\runtime\AAIS_RUNTIME_CANONICAL.md</w:t>
      </w:r>
    </w:p>
    <w:p>
      <w:r>
        <w:t>- E:\project infi\AAIS-main\docs\contracts\AAIS_MODULE_GOVERNANCE_PROTOCOL.md</w:t>
      </w:r>
    </w:p>
    <w:p>
      <w:r>
        <w:t>- E:\project infi\AAIS-main\docs\contracts\AAIS_CAPABILITY_MODULE_SPEC.md</w:t>
      </w:r>
    </w:p>
    <w:p>
      <w:r>
        <w:t>- E:\project infi\aais_unified.py</w:t>
      </w:r>
    </w:p>
    <w:sectPr>
      <w:pgSz w:w="12240" w:h="15840"/>
      <w:pgMar w:top="1440" w:right="1440" w:bottom="1440" w:left="1440"/>
    </w:sectPr>
  </w:body>
</w:document>
</file>