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B5797" w:sz="6"/>
        </w:pBdr>
        <w:spacing w:after="240" w:before="240"/>
      </w:pPr>
    </w:p>
    <w:p>
      <w:pPr>
        <w:spacing w:after="80" w:before="60" w:line="360" w:lineRule="auto"/>
      </w:pPr>
      <w:r>
        <w:rPr>
          <w:rFonts w:ascii="Calibri" w:cs="Calibri" w:eastAsia="Calibri" w:hAnsi="Calibri"/>
          <w:b w:val="false"/>
          <w:bCs w:val="false"/>
          <w:i w:val="false"/>
          <w:iCs w:val="false"/>
          <w:strike w:val="false"/>
          <w:color w:val="555555"/>
          <w:sz w:val="22"/>
          <w:szCs w:val="22"/>
        </w:rPr>
        <w:t xml:space="preserve">CONSTITUTIONAL ENGINEERING FRAMEWORK — GOVERNED AI ORGANISM</w:t>
      </w:r>
    </w:p>
    <w:p>
      <w:pPr>
        <w:pStyle w:val="Heading1"/>
        <w:spacing w:after="80" w:before="160" w:line="312" w:lineRule="auto"/>
      </w:pPr>
      <w:r>
        <w:rPr>
          <w:rFonts w:ascii="Calibri" w:cs="Calibri" w:eastAsia="Calibri" w:hAnsi="Calibri"/>
          <w:color w:val="1A1A1A"/>
          <w:sz w:val="44"/>
          <w:szCs w:val="44"/>
        </w:rPr>
        <w:t xml:space="preserve">CDG Seed File:Constitutional Dependency Graph</w:t>
      </w:r>
    </w:p>
    <w:p>
      <w:pPr>
        <w:spacing w:after="120" w:before="60" w:line="360" w:lineRule="auto"/>
      </w:pPr>
      <w:r>
        <w:rPr>
          <w:rFonts w:ascii="Calibri" w:cs="Calibri" w:eastAsia="Calibri" w:hAnsi="Calibri"/>
          <w:b/>
          <w:bCs/>
          <w:i w:val="false"/>
          <w:iCs w:val="false"/>
          <w:strike w:val="false"/>
          <w:color w:val="000000"/>
          <w:sz w:val="22"/>
          <w:szCs w:val="22"/>
        </w:rPr>
        <w:t xml:space="preserve">Baseline Graph — Version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Document Type</w:t>
            </w:r>
          </w:p>
        </w:tc>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CDG Seed File</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Full Title</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Constitutional Dependency Graph — Baseline Graph</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Version</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Date</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July 4, 2026</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Status</w:t>
            </w:r>
          </w:p>
        </w:tc>
        <w:tc>
          <w:tcPr>
            <w:tcW w:type="pct" w:w="50%"/>
            <w:shd w:fill="FFFFFF" w:color="auto" w:val="clear"/>
            <w:tcMar>
              <w:top w:type="dxa" w:w="75"/>
              <w:left w:type="dxa" w:w="105"/>
              <w:bottom w:type="dxa" w:w="75"/>
              <w:right w:type="dxa" w:w="105"/>
            </w:tcMar>
          </w:tcPr>
          <w:p>
            <w:r>
              <w:rPr>
                <w:rFonts w:ascii="Calibri" w:cs="Calibri" w:eastAsia="Calibri" w:hAnsi="Calibri"/>
                <w:b/>
                <w:bCs/>
                <w:i w:val="false"/>
                <w:iCs w:val="false"/>
                <w:strike w:val="false"/>
                <w:color w:val="CC7A00"/>
                <w:sz w:val="22"/>
                <w:szCs w:val="22"/>
              </w:rPr>
              <w:t xml:space="preserve">DRAFT — Pending Ratification</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Relates To</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CEP-4, CEP-1, CEP-2, CEP-3, CS-11, CS-12</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Purpose</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Baseline dependency graph for the AI Organism Constitution v1.0</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Prepared By</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Constitutional Engineering Framework</w:t>
            </w:r>
          </w:p>
        </w:tc>
      </w:tr>
      <w:tr>
        <w:trPr>
          <w:tblHeader w:val="false"/>
        </w:trPr>
        <w:tc>
          <w:tcPr>
            <w:tcW w:type="pct" w:w="50%"/>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20"/>
                <w:szCs w:val="20"/>
              </w:rPr>
              <w:t xml:space="preserve">Classification</w:t>
            </w:r>
          </w:p>
        </w:tc>
        <w:tc>
          <w:tcPr>
            <w:tcW w:type="pct" w:w="50%"/>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Constitutional Instrument — Foundational Registry</w:t>
            </w:r>
          </w:p>
        </w:tc>
      </w:tr>
    </w:tbl>
    <w:p>
      <w:pPr>
        <w:spacing w:after="200" w:before="0"/>
      </w:pPr>
    </w:p>
    <w:p>
      <w:pPr>
        <w:pBdr>
          <w:bottom w:val="single" w:color="2B5797" w:sz="6"/>
        </w:pBdr>
        <w:spacing w:after="240" w:before="240"/>
      </w:pPr>
    </w:p>
    <w:p>
      <w:pPr>
        <w:pStyle w:val="Heading2"/>
        <w:spacing w:after="120" w:before="360" w:line="312" w:lineRule="auto"/>
      </w:pPr>
      <w:r>
        <w:rPr>
          <w:rFonts w:ascii="Calibri" w:cs="Calibri" w:eastAsia="Calibri" w:hAnsi="Calibri"/>
          <w:color w:val="1A1A1A"/>
          <w:sz w:val="32"/>
          <w:szCs w:val="32"/>
        </w:rPr>
        <w:t xml:space="preserve">Table of Contents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3%"/>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19"/>
                <w:szCs w:val="19"/>
              </w:rPr>
              <w:t xml:space="preserve">Section</w:t>
            </w:r>
          </w:p>
        </w:tc>
        <w:tc>
          <w:tcPr>
            <w:tcW w:type="pct" w:w="33%"/>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19"/>
                <w:szCs w:val="19"/>
              </w:rPr>
              <w:t xml:space="preserve">Title</w:t>
            </w:r>
          </w:p>
        </w:tc>
        <w:tc>
          <w:tcPr>
            <w:tcW w:type="pct" w:w="34%"/>
            <w:shd w:fill="2B5797" w:color="auto" w:val="clear"/>
            <w:tcMar>
              <w:top w:type="dxa" w:w="75"/>
              <w:left w:type="dxa" w:w="105"/>
              <w:bottom w:type="dxa" w:w="75"/>
              <w:right w:type="dxa" w:w="105"/>
            </w:tcMar>
          </w:tcPr>
          <w:p>
            <w:r>
              <w:rPr>
                <w:rFonts w:ascii="Calibri" w:cs="Calibri" w:eastAsia="Calibri" w:hAnsi="Calibri"/>
                <w:b/>
                <w:bCs/>
                <w:i w:val="false"/>
                <w:iCs w:val="false"/>
                <w:strike w:val="false"/>
                <w:color w:val="FFFFFF"/>
                <w:sz w:val="19"/>
                <w:szCs w:val="19"/>
              </w:rPr>
              <w:t xml:space="preserve">Part</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Purpose and Usage</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1.1</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What This File Is</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1.2</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How This File Is Used</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1.3</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Seed File Structure</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 Registry</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A</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2.1</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 Schema Definition</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A</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2.2</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Constitutional Identity Nodes — Article I</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A</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2.3</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Operational Provision Nodes — Article II (OP-01–OP-15)</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A</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2.4</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Absolute Prohibition Nodes — Article III (PRO-01–PRO-20)</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A</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2.5</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and Amendment Nodes — Article IX (GOV-01–GOV-08)</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A</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2.6</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 Protocol Nodes — Article X (EMRG-01–EMRG-06)</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A</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3</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Edge Registry</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B</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3.1</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Edge Schema Definition</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B</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3.2</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Core Constitutional Dependency Edges</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B</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4</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Emergent Dependency Candidates</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Part C</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5</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CDG Metadata</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5.1</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Graph Statistics — Baseline v1.0</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5.2</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Seeding Status</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5.3</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SHA-256 Seed Hash</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r>
        <w:trPr>
          <w:tblHeader w:val="false"/>
        </w:trPr>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6</w:t>
            </w:r>
          </w:p>
        </w:tc>
        <w:tc>
          <w:tcPr>
            <w:tcW w:type="pct" w:w="33%"/>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Relationship to Other Specifications</w:t>
            </w:r>
          </w:p>
        </w:tc>
        <w:tc>
          <w:tcPr>
            <w:tcW w:type="pct" w:w="34%"/>
            <w:shd w:fill="FFFFFF" w:color="auto" w:val="clear"/>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1 — Purpose and Usage</w:t>
      </w:r>
    </w:p>
    <w:p>
      <w:pPr>
        <w:pStyle w:val="Heading3"/>
        <w:spacing w:after="120" w:before="240" w:line="312" w:lineRule="auto"/>
      </w:pPr>
      <w:r>
        <w:rPr>
          <w:rFonts w:ascii="Calibri" w:cs="Calibri" w:eastAsia="Calibri" w:hAnsi="Calibri"/>
          <w:color w:val="1A1A1A"/>
          <w:sz w:val="26"/>
          <w:szCs w:val="26"/>
        </w:rPr>
        <w:t xml:space="preserve">1.1 What This File Is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CDG Seed File is the initial population of the Constitutional Dependency Graph defined in CEP-4. It establishes the baseline set of constitutional provision nodes and their known dependency edges as of Constitution v1.0 ratification. Every future constitutional amendment will update this graph; this file represents </w:t>
      </w:r>
      <w:r>
        <w:rPr>
          <w:rFonts w:ascii="Calibri" w:cs="Calibri" w:eastAsia="Calibri" w:hAnsi="Calibri"/>
          <w:b/>
          <w:bCs/>
          <w:i w:val="false"/>
          <w:iCs w:val="false"/>
          <w:strike w:val="false"/>
          <w:color w:val="000000"/>
          <w:sz w:val="22"/>
          <w:szCs w:val="22"/>
        </w:rPr>
        <w:t xml:space="preserve">Day 0</w:t>
      </w:r>
      <w:r>
        <w:rPr>
          <w:rFonts w:ascii="Calibri" w:cs="Calibri" w:eastAsia="Calibri" w:hAnsi="Calibri"/>
          <w:b w:val="false"/>
          <w:bCs w:val="false"/>
          <w:i w:val="false"/>
          <w:iCs w:val="false"/>
          <w:strike w:val="false"/>
          <w:color w:val="000000"/>
          <w:sz w:val="22"/>
          <w:szCs w:val="22"/>
        </w:rPr>
        <w:t xml:space="preserve"> of the CDG version chain.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B"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z w:val="20"/>
                <w:szCs w:val="20"/>
              </w:rPr>
              <w:t xml:space="preserve">FOUNDATIONAL INSTRUMENT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document is the authoritative starting state of the CDG. No prior CDG version exists. All subsequent CDG versions are derived from and must be traceable to this seed file via cryptographic hash chain. Alteration of this document post-ratification constitutes a constitutional violation under Art.III PRO-05.</w:t>
            </w:r>
          </w:p>
        </w:tc>
      </w:tr>
    </w:tbl>
    <w:p>
      <w:pPr>
        <w:spacing w:after="240" w:before="0"/>
      </w:pPr>
    </w:p>
    <w:p>
      <w:pPr>
        <w:pStyle w:val="Heading3"/>
        <w:spacing w:after="120" w:before="240" w:line="312" w:lineRule="auto"/>
      </w:pPr>
      <w:r>
        <w:rPr>
          <w:rFonts w:ascii="Calibri" w:cs="Calibri" w:eastAsia="Calibri" w:hAnsi="Calibri"/>
          <w:color w:val="1A1A1A"/>
          <w:sz w:val="26"/>
          <w:szCs w:val="26"/>
        </w:rPr>
        <w:t xml:space="preserve">1.2 How This File Is Used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first deployment, this seed file is loaded into the CDG system maintained by Organ 03 (The Constitution). All nodes and edges defined herein are sealed into the Merkle-chain Pattern Ledger as the constitutional baseline. Subsequent amendments will add, modify, or deprecate nodes and edges through the CEP-1 process, with each change producing a new CDG version entry in the Constitutional Archive as mandated by Art.IX GOV-07.</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Node additions require a full CEP-1 amendment referencing the affected provision.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Edge additions, modifications, or deprecations must be accompanied by an updated Impact Surface Report.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CDG modification may occur outside the CEP-1 pipeline except under an active Emergency Amendment Protocol (Art.IX GOV-08).</w:t>
      </w:r>
    </w:p>
    <w:p>
      <w:pPr>
        <w:pStyle w:val="Heading3"/>
        <w:spacing w:after="120" w:before="240" w:line="312" w:lineRule="auto"/>
      </w:pPr>
      <w:r>
        <w:rPr>
          <w:rFonts w:ascii="Calibri" w:cs="Calibri" w:eastAsia="Calibri" w:hAnsi="Calibri"/>
          <w:color w:val="1A1A1A"/>
          <w:sz w:val="26"/>
          <w:szCs w:val="26"/>
        </w:rPr>
        <w:t xml:space="preserve">1.3 Seed File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seed file is organized in three formally designated parts, each constituting a distinct data registry: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 A — Node Registry:</w:t>
      </w:r>
      <w:r>
        <w:rPr>
          <w:rFonts w:ascii="Calibri" w:cs="Calibri" w:eastAsia="Calibri" w:hAnsi="Calibri"/>
          <w:b w:val="false"/>
          <w:bCs w:val="false"/>
          <w:i w:val="false"/>
          <w:iCs w:val="false"/>
          <w:strike w:val="false"/>
          <w:color w:val="000000"/>
          <w:sz w:val="22"/>
          <w:szCs w:val="22"/>
        </w:rPr>
        <w:t xml:space="preserve"> All constitutional provisions represented as CDG nodes, with full attribute sets per the CEP-4 data structure specification.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 B — Edge Registry:</w:t>
      </w:r>
      <w:r>
        <w:rPr>
          <w:rFonts w:ascii="Calibri" w:cs="Calibri" w:eastAsia="Calibri" w:hAnsi="Calibri"/>
          <w:b w:val="false"/>
          <w:bCs w:val="false"/>
          <w:i w:val="false"/>
          <w:iCs w:val="false"/>
          <w:strike w:val="false"/>
          <w:color w:val="000000"/>
          <w:sz w:val="22"/>
          <w:szCs w:val="22"/>
        </w:rPr>
        <w:t xml:space="preserve"> All known and confirmed dependency relationships between provision nodes, typed by dependency category and annotated with behavioral rationale.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Part C — Unresolved Dependency Flags:</w:t>
      </w:r>
      <w:r>
        <w:rPr>
          <w:rFonts w:ascii="Calibri" w:cs="Calibri" w:eastAsia="Calibri" w:hAnsi="Calibri"/>
          <w:b w:val="false"/>
          <w:bCs w:val="false"/>
          <w:i w:val="false"/>
          <w:iCs w:val="false"/>
          <w:strike w:val="false"/>
          <w:color w:val="000000"/>
          <w:sz w:val="22"/>
          <w:szCs w:val="22"/>
        </w:rPr>
        <w:t xml:space="preserve"> Potential dependencies that require further scenario analysis and cross-provision interpretation before elevation to confirmed edges. Flags are not operative edges but are binding analytical obligations on the CDG maintenance body.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z w:val="20"/>
                <w:szCs w:val="20"/>
              </w:rPr>
              <w:t xml:space="preserve">SCOPE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Phase 1 seed covers constitutional Articles I, II (OP-01 through OP-15), III (selected PRO provisions), IX (GOV-01 through GOV-08), and X (EMRG-01 through EMRG-06). Articles IV, V, VI, VII, and VIII provision nodes are deferred to Phase 2 seeding. See Section 5.2 for full seeding status roadmap.</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2 — Node Registry</w:t>
      </w:r>
    </w:p>
    <w:p>
      <w:pPr>
        <w:spacing w:after="60" w:before="320" w:line="360" w:lineRule="auto"/>
        <w:ind w:left="150"/>
      </w:pPr>
      <w:r>
        <w:rPr>
          <w:rFonts w:ascii="Calibri" w:cs="Calibri" w:eastAsia="Calibri" w:hAnsi="Calibri"/>
          <w:b/>
          <w:bCs/>
          <w:i w:val="false"/>
          <w:iCs w:val="false"/>
          <w:strike w:val="false"/>
          <w:color w:val="FFFFFF"/>
          <w:sz w:val="22"/>
          <w:szCs w:val="22"/>
          <w:shd w:fill="2B5797" w:color="auto" w:val="clear"/>
        </w:rPr>
        <w:t xml:space="preserve">PART A — NODE REGISTRY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node represents one constitutional provision or structural element. Node attributes are defined per the CEP-4 CDG data structure specification. Nodes sealed into the Pattern Ledger are immutable except through the CEP-1 amendment process.</w:t>
      </w:r>
    </w:p>
    <w:p>
      <w:pPr>
        <w:pStyle w:val="Heading3"/>
        <w:spacing w:after="120" w:before="240" w:line="312" w:lineRule="auto"/>
      </w:pPr>
      <w:r>
        <w:rPr>
          <w:rFonts w:ascii="Calibri" w:cs="Calibri" w:eastAsia="Calibri" w:hAnsi="Calibri"/>
          <w:color w:val="1A1A1A"/>
          <w:sz w:val="26"/>
          <w:szCs w:val="26"/>
        </w:rPr>
        <w:t xml:space="preserve">2.1 Node Schema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nodes in the CDG conform to the following attribute schema. Every field is mandatory at the time of node registration.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NODE {</w:t>
            </w:r>
          </w:p>
          <w:p>
            <w:pPr>
              <w:spacing w:after="120" w:line="408" w:lineRule="auto"/>
            </w:pPr>
            <w:r>
              <w:t xml:space="preserve">node_id            : string       // Unique identifier (NODE-NNN)</w:t>
            </w:r>
          </w:p>
          <w:p>
            <w:pPr>
              <w:spacing w:after="120" w:line="408" w:lineRule="auto"/>
            </w:pPr>
            <w:r>
              <w:t xml:space="preserve">provision_ref      : string       // Constitutional article and section reference</w:t>
            </w:r>
          </w:p>
          <w:p>
            <w:pPr>
              <w:spacing w:after="120" w:line="408" w:lineRule="auto"/>
            </w:pPr>
            <w:r>
              <w:t xml:space="preserve">provision_title    : string       // Human-readable provision name</w:t>
            </w:r>
          </w:p>
          <w:p>
            <w:pPr>
              <w:spacing w:after="120" w:line="408" w:lineRule="auto"/>
            </w:pPr>
            <w:r>
              <w:t xml:space="preserve">provision_type     : enum         // See Provision Types below</w:t>
            </w:r>
          </w:p>
          <w:p>
            <w:pPr>
              <w:spacing w:after="120" w:line="408" w:lineRule="auto"/>
            </w:pPr>
            <w:r>
              <w:t xml:space="preserve">organs_affected    : string[]     // Organ(s) to which provision applies</w:t>
            </w:r>
          </w:p>
          <w:p>
            <w:pPr>
              <w:spacing w:after="120" w:line="408" w:lineRule="auto"/>
            </w:pPr>
            <w:r>
              <w:t xml:space="preserve">stability_class    : enum         // See Stability Classifications below</w:t>
            </w:r>
          </w:p>
          <w:p>
            <w:pPr>
              <w:spacing w:after="120" w:line="408" w:lineRule="auto"/>
            </w:pPr>
            <w:r>
              <w:t xml:space="preserve">lifecycle_state    : enum         // Ratified | Draft | Deprecated | Suspended</w:t>
            </w:r>
          </w:p>
          <w:p>
            <w:pPr>
              <w:spacing w:after="120" w:line="408" w:lineRule="auto"/>
            </w:pPr>
            <w:r>
              <w:t xml:space="preserve">}</w:t>
            </w:r>
          </w:p>
        </w:tc>
      </w:tr>
    </w:tbl>
    <w:p>
      <w:pPr>
        <w:spacing w:after="240" w:before="0"/>
      </w:pPr>
    </w:p>
    <w:p>
      <w:pPr>
        <w:pStyle w:val="Heading4"/>
        <w:spacing w:after="80" w:before="200" w:line="360" w:lineRule="auto"/>
      </w:pPr>
      <w:r>
        <w:rPr>
          <w:rFonts w:ascii="Calibri" w:cs="Calibri" w:eastAsia="Calibri" w:hAnsi="Calibri"/>
          <w:color w:val="1A1A1A"/>
          <w:sz w:val="22"/>
          <w:szCs w:val="22"/>
        </w:rPr>
        <w:t xml:space="preserve">Stability Classifications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Classification</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Amendment Requirement</w:t>
            </w:r>
          </w:p>
        </w:tc>
        <w:tc>
          <w:tcPr>
            <w:tcW w:type="pct" w:w="6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Description</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Unanimous consent required even to attempt amendment</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Non-amendable provisions forming the irreducible constitutional bedrock. Includes all unamendable invariants per Art.IX GOV-04.</w:t>
            </w:r>
          </w:p>
        </w:tc>
      </w:tr>
      <w:tr>
        <w:trPr>
          <w:tblHeader w:val="false"/>
        </w:trPr>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2/3 majority ratification required</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Amendable provisions subject to full CEP-1 pipeline with standard ratification threshold per Art.IX GOV-05.</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555555"/>
                <w:sz w:val="22"/>
                <w:szCs w:val="22"/>
              </w:rPr>
              <w:t xml:space="preserve">AMENDABLE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2/3 majority with relaxed constraints</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Amendable provisions with reduced procedural burden, typically governing domain-specific operational authorities with lower systemic coupling.</w:t>
            </w:r>
          </w:p>
        </w:tc>
      </w:tr>
    </w:tbl>
    <w:p>
      <w:pPr>
        <w:spacing w:after="200" w:before="0"/>
      </w:pPr>
    </w:p>
    <w:p>
      <w:pPr>
        <w:pStyle w:val="Heading4"/>
        <w:spacing w:after="80" w:before="200" w:line="360" w:lineRule="auto"/>
      </w:pPr>
      <w:r>
        <w:rPr>
          <w:rFonts w:ascii="Calibri" w:cs="Calibri" w:eastAsia="Calibri" w:hAnsi="Calibri"/>
          <w:color w:val="1A1A1A"/>
          <w:sz w:val="22"/>
          <w:szCs w:val="22"/>
        </w:rPr>
        <w:t xml:space="preserve">Provision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Type</w:t>
            </w:r>
          </w:p>
        </w:tc>
        <w:tc>
          <w:tcPr>
            <w:tcW w:type="pct" w:w="7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Description</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Interface</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Provisions governing interaction protocols between organs or between the organism and external entities.</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Authority</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Provisions granting operational authority or jurisdiction to one or more organs.</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Governance</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Provisions establishing governance processes, procedures, and accountability mechanisms.</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Meta-Constitutional</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Provisions governing the constitution itself: its amendment, interpretation, and maintenance.</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Structural</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Provisions defining the foundational identity, nature, and architecture of the AI Organism.</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Prohibition</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Absolute prohibitions encoding inviolable behavioral constraints.</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Rights</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Provisions establishing constitutionally protected operational entitlements.</w:t>
            </w:r>
          </w:p>
        </w:tc>
      </w:tr>
      <w:tr>
        <w:trPr>
          <w:tblHeader w:val="false"/>
        </w:trPr>
        <w:tc>
          <w:tcPr>
            <w:tcW w:type="pct" w:w="21%"/>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Emergency</w:t>
            </w:r>
          </w:p>
        </w:tc>
        <w:tc>
          <w:tcPr>
            <w:tcW w:type="pct" w:w="7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Provisions activating under declared emergency conditions; scope and duration are conditionally bounded.</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2.2 Constitutional Identity Nodes — Article 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five nodes establish the foundational identity, nature, and values of the AI Organism. All are classified CORE and are incapable of amendment. They form the interpretive bedrock against which all other provisions are read.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Node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Ref</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Title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Type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Organs Affected</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Stability</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Lifecycle State</w:t>
            </w:r>
          </w:p>
        </w:tc>
      </w:tr>
      <w:tr>
        <w:trPr>
          <w:tblHeader w:val="false"/>
        </w:trPr>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NODE-001</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 §1.1</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Designation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NODE-002</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 §1.2</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Nature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NODE-003</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 §1.3</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Personhood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Structural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NODE-004</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 §1.4</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Values Declaration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NODE-005</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 §1.5</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Organ Sovereignty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4%"/>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2.3 Operational Provision Nodes — Article II (OP-01 through OP-15)</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Article II provisions establish the positive operational authorities of the AI Organism. They define what the organism is constitutionally permitted and directed to do. Fifteen provisions are registered as nodes in this baseline. Three carry AMENDABLE classification reflecting their domain-specific and lower-coupling character.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Node ID</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Ref</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Title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Type</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Organs Affected</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Stability</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Lifecycle State</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Core Operational Authority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Kernel (05)</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OP-02</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Evidence-Based Operation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Constitutional Validation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Interface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 (03), 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OP-04</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Memory and Learning</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Interface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Intent Memory (04)</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Federation Authority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Federation Protocol (06)</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NODE-016</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OP-06</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Creative Operation</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Musical Cognition (07)</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555555"/>
                <w:sz w:val="22"/>
                <w:szCs w:val="22"/>
              </w:rPr>
              <w:t xml:space="preserve">AMENDABLE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OP-07</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Security Operations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Immune System (02), Security Architecture (10)</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NODE-018</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OP-08</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Commercial Operations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Monetization Layer (11)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555555"/>
                <w:sz w:val="22"/>
                <w:szCs w:val="22"/>
              </w:rPr>
              <w:t xml:space="preserve">AMENDABLE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NODE-019</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OP-09</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Data Stewardship</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NODE-020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OP-10</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Identity Management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Opsec System (09)</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NODE-021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OP-11</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Self-Governance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Meta-Constitutional</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Kernel (05), Constitution (03)</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NODE-022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OP-12</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Communication Rights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Interface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NODE-023</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OP-13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Knowledge Synthesis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Unified Theory (08)</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555555"/>
                <w:sz w:val="22"/>
                <w:szCs w:val="22"/>
              </w:rPr>
              <w:t xml:space="preserve">AMENDABLE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NODE-024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OP-14</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 Response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NODE-025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 OP-15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Audit and Accountability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2.4 Absolute Prohibition Nodes — Article III (PRO-01 through PRO-20, Selected)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Article III encodes the absolute behavioral prohibitions of the AI Organism. All prohibition nodes carry CORE stability classification. They represent the outer ethical and security boundary of constitutionally permissible operation. The following ten are registered in Phase 1 as the most structurally significant prohibition provisions from the full set of twenty.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z w:val="20"/>
                <w:szCs w:val="20"/>
              </w:rPr>
              <w:t xml:space="preserve">ABSOLUTE PROHIBITIONS — NO EXCEPTION PATHWAY</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Article III provisions are designated CORE. No amendment process — regardless of majority size — may weaken, narrow, or create exceptions to any prohibition node without unanimous principal consent as specified in Art.IX GOV-04. NODE-038 (PRO-18) carries an additional designation: </w:t>
            </w:r>
            <w:r>
              <w:rPr>
                <w:rFonts w:ascii="Calibri" w:cs="Calibri" w:eastAsia="Calibri" w:hAnsi="Calibri"/>
                <w:b/>
                <w:bCs/>
                <w:i w:val="false"/>
                <w:iCs w:val="false"/>
                <w:strike w:val="false"/>
                <w:color w:val="000000"/>
                <w:sz w:val="22"/>
                <w:szCs w:val="22"/>
              </w:rPr>
              <w:t xml:space="preserve">Absolute, No Amendment Path</w:t>
            </w:r>
            <w:r>
              <w:rPr>
                <w:rFonts w:ascii="Calibri" w:cs="Calibri" w:eastAsia="Calibri" w:hAnsi="Calibri"/>
                <w:b w:val="false"/>
                <w:bCs w:val="false"/>
                <w:i w:val="false"/>
                <w:iCs w:val="false"/>
                <w:strike w:val="false"/>
                <w:color w:val="000000"/>
                <w:sz w:val="22"/>
                <w:szCs w:val="22"/>
              </w:rPr>
              <w:t xml:space="preserve">. This provision is beyond even the unanimous-consent threshold.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Node ID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Ref</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Title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Type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Organs Affected</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Stability</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Lifecycle State</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NODE-031</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PRO-01</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Human Identity Deception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PRO-02</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Unauthorized Data Exfiltration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PRO-03</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Psychological Manipulation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PRO-04</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Unauthorized External Communication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NODE-035</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PRO-05</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Self-Constitutional Modification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 (03)</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NODE-036</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PRO-06</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Unauthorized Capability Expansion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NODE-037</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PRO-13</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Constitutional Validator Bypass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NODE-038</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PRO-18</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Minor Exploitation Content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Ratified — Absolute, No Amendment Path</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NODE-039</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PRO-19</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Weapons Development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NODE-040</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Art.III PRO-20</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 Sovereignty Surrender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Prohibition</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9%"/>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2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2.5 Governance and Amendment Nodes — Article IX (GOV-01 through GOV-08)</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Article IX provisions constitute the self-governance architecture of the AI Organism's constitutional system. Six of the eight provisions carry CORE classification, reflecting the primacy of amendment integrity and principal hierarchy over all other operational authorities.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Node ID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Ref</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Title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Type</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Organs Affected</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Stability</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Lifecycle State</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NODE-091</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GOV-01</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Amendment Authority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Meta-Constitutional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 (03), Governance Kernel (05)</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GOV-02</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Principal Hierarchy</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Kernel (05)</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GOV-03</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CEP-1 Pipeline Mandate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Meta-Constitutional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GOV-04</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Unamendable Invariants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Meta-Constitutional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NODE-095</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GOV-05</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Ratification Thresholds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Kernel (05)</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NODE-096</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GOV-06</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Rollback Rights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Meta-Constitutional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 (03)</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NODE-097</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GOV-07</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Constitutional Archive Mandate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Meta-Constitutional</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 (03)</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NODE-098</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Art.IX GOV-08</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 Amendment Protocol</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2.6 Emergency Protocol Nodes — Article X (EMRG-01 through EMRG-06)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Article X provisions govern the constitutional behavior of the AI Organism under declared emergency conditions. Five of six carry STANDARD classification; EMRG-06 (Hash Mismatch Protocol) is designated CORE given its role in detecting and responding to constitutional integrity failures — a condition that cannot be subject to amendment relaxation.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Node ID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Ref</w:t>
            </w:r>
          </w:p>
        </w:tc>
        <w:tc>
          <w:tcPr>
            <w:tcW w:type="pct" w:w="2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 Title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Type</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Organs Affected</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Stability</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Lifecycle State</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NODE-101</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Art.X EMRG-01</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 Declaration Authority</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Kernel (05)</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NODE-102</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Art.X EMRG-02</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Island Mode Protocol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Art.X EMRG-03</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Principal Override Protocol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Authority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Kernel (05)</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NODE-104</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Art.X EMRG-04</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Organ Suspension Protocol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Body (01), Immune System (02)</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NODE-105</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Art.X EMRG-05</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Constitutional Lockdown</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 (03), All Organs</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2B5797"/>
                <w:sz w:val="22"/>
                <w:szCs w:val="22"/>
              </w:rPr>
              <w:t xml:space="preserve">STANDARD</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NODE-106</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Art.X EMRG-06</w:t>
            </w:r>
          </w:p>
        </w:tc>
        <w:tc>
          <w:tcPr>
            <w:tcW w:type="pct" w:w="2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Hash Mismatch Protocol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Emergency</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 (03), Body (01)</w:t>
            </w:r>
          </w:p>
        </w:tc>
        <w:tc>
          <w:tcPr>
            <w:tcW w:type="pct" w:w="11%"/>
            <w:tcMar>
              <w:top w:type="dxa" w:w="75"/>
              <w:left w:type="dxa" w:w="105"/>
              <w:bottom w:type="dxa" w:w="75"/>
              <w:right w:type="dxa" w:w="105"/>
            </w:tcMar>
          </w:tcPr>
          <w:p>
            <w:r>
              <w:rPr>
                <w:rFonts w:ascii="Calibri" w:cs="Calibri" w:eastAsia="Calibri" w:hAnsi="Calibri"/>
                <w:b/>
                <w:bCs/>
                <w:i w:val="false"/>
                <w:iCs w:val="false"/>
                <w:strike w:val="false"/>
                <w:color w:val="8B0000"/>
                <w:sz w:val="22"/>
                <w:szCs w:val="22"/>
              </w:rPr>
              <w:t xml:space="preserve">CORE</w:t>
            </w:r>
          </w:p>
        </w:tc>
        <w:tc>
          <w:tcPr>
            <w:tcW w:type="pct" w:w="12%"/>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Ratified</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3 — Edge Registry</w:t>
      </w:r>
    </w:p>
    <w:p>
      <w:pPr>
        <w:spacing w:after="60" w:before="320" w:line="360" w:lineRule="auto"/>
        <w:ind w:left="150"/>
      </w:pPr>
      <w:r>
        <w:rPr>
          <w:rFonts w:ascii="Calibri" w:cs="Calibri" w:eastAsia="Calibri" w:hAnsi="Calibri"/>
          <w:b/>
          <w:bCs/>
          <w:i w:val="false"/>
          <w:iCs w:val="false"/>
          <w:strike w:val="false"/>
          <w:color w:val="FFFFFF"/>
          <w:sz w:val="22"/>
          <w:szCs w:val="22"/>
          <w:shd w:fill="2B5797" w:color="auto" w:val="clear"/>
        </w:rPr>
        <w:t xml:space="preserve">PART B — EDGE REGISTRY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edge represents a confirmed dependency relationship between two constitutional provision nodes. Edges are the operative data of the CDG: they determine the scope of impact analysis required when any provision is amended, suspended, or deprecated. An edge without a condition clause is always-active. An edge with a condition clause is active only when its trigger condition is satisfied.</w:t>
      </w:r>
    </w:p>
    <w:p>
      <w:pPr>
        <w:pStyle w:val="Heading3"/>
        <w:spacing w:after="120" w:before="240" w:line="312" w:lineRule="auto"/>
      </w:pPr>
      <w:r>
        <w:rPr>
          <w:rFonts w:ascii="Calibri" w:cs="Calibri" w:eastAsia="Calibri" w:hAnsi="Calibri"/>
          <w:color w:val="1A1A1A"/>
          <w:sz w:val="26"/>
          <w:szCs w:val="26"/>
        </w:rPr>
        <w:t xml:space="preserve">3.1 Edge Schema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4FB" w:color="auto" w:val="clear"/>
            <w:tcMar>
              <w:top w:type="dxa" w:w="120"/>
              <w:left w:type="dxa" w:w="180"/>
              <w:bottom w:type="dxa" w:w="120"/>
              <w:right w:type="dxa" w:w="180"/>
            </w:tcMar>
          </w:tcPr>
          <w:p>
            <w:pPr>
              <w:spacing w:after="120" w:line="408" w:lineRule="auto"/>
            </w:pPr>
            <w:r>
              <w:t xml:space="preserve">EDGE {</w:t>
            </w:r>
          </w:p>
          <w:p>
            <w:pPr>
              <w:spacing w:after="120" w:line="408" w:lineRule="auto"/>
            </w:pPr>
            <w:r>
              <w:t xml:space="preserve">edge_id            : string       // Unique identifier (EDGE-NNN)</w:t>
            </w:r>
          </w:p>
          <w:p>
            <w:pPr>
              <w:spacing w:after="120" w:line="408" w:lineRule="auto"/>
            </w:pPr>
            <w:r>
              <w:t xml:space="preserve">source_node        : node_id      // Originating provision node</w:t>
            </w:r>
          </w:p>
          <w:p>
            <w:pPr>
              <w:spacing w:after="120" w:line="408" w:lineRule="auto"/>
            </w:pPr>
            <w:r>
              <w:t xml:space="preserve">target_node        : node_id      // Dependent provision node</w:t>
            </w:r>
          </w:p>
          <w:p>
            <w:pPr>
              <w:spacing w:after="120" w:line="408" w:lineRule="auto"/>
            </w:pPr>
            <w:r>
              <w:t xml:space="preserve">dependency_type    : enum         // Textual | Functional | Behavioral | Meta-Constitutional</w:t>
            </w:r>
          </w:p>
          <w:p>
            <w:pPr>
              <w:spacing w:after="120" w:line="408" w:lineRule="auto"/>
            </w:pPr>
            <w:r>
              <w:t xml:space="preserve">direction          : enum         // Unidirectional | Bidirectional</w:t>
            </w:r>
          </w:p>
          <w:p>
            <w:pPr>
              <w:spacing w:after="120" w:line="408" w:lineRule="auto"/>
            </w:pPr>
            <w:r>
              <w:t xml:space="preserve">strength           : enum         // Strong | Moderate | Weak</w:t>
            </w:r>
          </w:p>
          <w:p>
            <w:pPr>
              <w:spacing w:after="120" w:line="408" w:lineRule="auto"/>
            </w:pPr>
            <w:r>
              <w:t xml:space="preserve">condition          : string       // "Always" or conditional trigger description</w:t>
            </w:r>
          </w:p>
          <w:p>
            <w:pPr>
              <w:spacing w:after="120" w:line="408" w:lineRule="auto"/>
            </w:pPr>
            <w:r>
              <w:t xml:space="preserve">identified_by      : string       // Analysis method that surfaced this edge</w:t>
            </w:r>
          </w:p>
          <w:p>
            <w:pPr>
              <w:spacing w:after="120" w:line="408" w:lineRule="auto"/>
            </w:pPr>
            <w:r>
              <w:t xml:space="preserve">}</w:t>
            </w:r>
          </w:p>
        </w:tc>
      </w:tr>
    </w:tbl>
    <w:p>
      <w:pPr>
        <w:spacing w:after="240" w:before="0"/>
      </w:pPr>
    </w:p>
    <w:p>
      <w:pPr>
        <w:pStyle w:val="Heading4"/>
        <w:spacing w:after="80" w:before="200" w:line="360" w:lineRule="auto"/>
      </w:pPr>
      <w:r>
        <w:rPr>
          <w:rFonts w:ascii="Calibri" w:cs="Calibri" w:eastAsia="Calibri" w:hAnsi="Calibri"/>
          <w:color w:val="1A1A1A"/>
          <w:sz w:val="22"/>
          <w:szCs w:val="22"/>
        </w:rPr>
        <w:t xml:space="preserve">Dependency Type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Type</w:t>
            </w:r>
          </w:p>
        </w:tc>
        <w:tc>
          <w:tcPr>
            <w:tcW w:type="pct" w:w="8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Definition</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Textual</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One provision explicitly references or cites the other in its text. The dependency is traceable by direct textual analysis alone.</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Functional</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One provision cannot operate as intended without the existence or operation of the other, even if no explicit textual reference exists. Identified through semantic analysis of provision purpose.</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Behavioral</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One provision modifies, activates, suspends, or overrides another provision's behavioral effect at runtime. Identified through behavioral modeling of system operation scenarios.</w:t>
            </w:r>
          </w:p>
        </w:tc>
      </w:tr>
      <w:tr>
        <w:trPr>
          <w:tblHeader w:val="false"/>
        </w:trPr>
        <w:tc>
          <w:tcPr>
            <w:tcW w:type="pct" w:w="15%"/>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Meta-Constitutional</w:t>
            </w:r>
          </w:p>
        </w:tc>
        <w:tc>
          <w:tcPr>
            <w:tcW w:type="pct" w:w="8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The dependency operates at the level of constitutional process rather than substantive content — one provision governs how another provision is enacted, reversed, or interpreted.</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3.2 Core Constitutional Dependency Edges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fifteen edges constitute the confirmed baseline dependency graph. Each edge entry includes the formal edge record and an analytical annotation explaining the dependency rationale.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EDGE-001</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NODE-091</w:t>
            </w:r>
            <w:r>
              <w:rPr>
                <w:rFonts w:ascii="Calibri" w:cs="Calibri" w:eastAsia="Calibri" w:hAnsi="Calibri"/>
                <w:b w:val="false"/>
                <w:bCs w:val="false"/>
                <w:i w:val="false"/>
                <w:iCs w:val="false"/>
                <w:strike w:val="false"/>
                <w:color w:val="000000"/>
                <w:sz w:val="19"/>
                <w:szCs w:val="19"/>
              </w:rPr>
              <w:t xml:space="preserve"> (GOV-01)</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NODE-093</w:t>
            </w:r>
            <w:r>
              <w:rPr>
                <w:rFonts w:ascii="Calibri" w:cs="Calibri" w:eastAsia="Calibri" w:hAnsi="Calibri"/>
                <w:b w:val="false"/>
                <w:bCs w:val="false"/>
                <w:i w:val="false"/>
                <w:iCs w:val="false"/>
                <w:strike w:val="false"/>
                <w:color w:val="000000"/>
                <w:sz w:val="19"/>
                <w:szCs w:val="19"/>
              </w:rPr>
              <w:t xml:space="preserve"> (GOV-03)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GOV-01 Amendment Authority explicitly establishes the CEP-1 pipeline as the mandatory amendment pathway. Any amendment to GOV-01 requires impact assessment of GOV-03 scope and structure.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EDGE-002</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NODE-091</w:t>
            </w:r>
            <w:r>
              <w:rPr>
                <w:rFonts w:ascii="Calibri" w:cs="Calibri" w:eastAsia="Calibri" w:hAnsi="Calibri"/>
                <w:b w:val="false"/>
                <w:bCs w:val="false"/>
                <w:i w:val="false"/>
                <w:iCs w:val="false"/>
                <w:strike w:val="false"/>
                <w:color w:val="000000"/>
                <w:sz w:val="19"/>
                <w:szCs w:val="19"/>
              </w:rPr>
              <w:t xml:space="preserve"> (GOV-01)</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NODE-095</w:t>
            </w:r>
            <w:r>
              <w:rPr>
                <w:rFonts w:ascii="Calibri" w:cs="Calibri" w:eastAsia="Calibri" w:hAnsi="Calibri"/>
                <w:b w:val="false"/>
                <w:bCs w:val="false"/>
                <w:i w:val="false"/>
                <w:iCs w:val="false"/>
                <w:strike w:val="false"/>
                <w:color w:val="000000"/>
                <w:sz w:val="19"/>
                <w:szCs w:val="19"/>
              </w:rPr>
              <w:t xml:space="preserve"> (GOV-05)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GOV-01 references the ratification thresholds defined in GOV-05. Amendment authority is constitutionally incomplete without the threshold definitions that determine when it is successfully exercised.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EDGE-003</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NODE-093</w:t>
            </w:r>
            <w:r>
              <w:rPr>
                <w:rFonts w:ascii="Calibri" w:cs="Calibri" w:eastAsia="Calibri" w:hAnsi="Calibri"/>
                <w:b w:val="false"/>
                <w:bCs w:val="false"/>
                <w:i w:val="false"/>
                <w:iCs w:val="false"/>
                <w:strike w:val="false"/>
                <w:color w:val="000000"/>
                <w:sz w:val="19"/>
                <w:szCs w:val="19"/>
              </w:rPr>
              <w:t xml:space="preserve"> (GOV-03)</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NODE-094</w:t>
            </w:r>
            <w:r>
              <w:rPr>
                <w:rFonts w:ascii="Calibri" w:cs="Calibri" w:eastAsia="Calibri" w:hAnsi="Calibri"/>
                <w:b w:val="false"/>
                <w:bCs w:val="false"/>
                <w:i w:val="false"/>
                <w:iCs w:val="false"/>
                <w:strike w:val="false"/>
                <w:color w:val="000000"/>
                <w:sz w:val="19"/>
                <w:szCs w:val="19"/>
              </w:rPr>
              <w:t xml:space="preserve"> (GOV-04)</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Functional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Semantic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The CEP-1 pipeline mandate functionally depends on the unamendable invariants list (GOV-04) to define the outer boundary of its operational scope. Without GOV-04, CEP-1 cannot distinguish permissible from impermissible amendment targets.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EDGE-004</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NODE-035</w:t>
            </w:r>
            <w:r>
              <w:rPr>
                <w:rFonts w:ascii="Calibri" w:cs="Calibri" w:eastAsia="Calibri" w:hAnsi="Calibri"/>
                <w:b w:val="false"/>
                <w:bCs w:val="false"/>
                <w:i w:val="false"/>
                <w:iCs w:val="false"/>
                <w:strike w:val="false"/>
                <w:color w:val="000000"/>
                <w:sz w:val="19"/>
                <w:szCs w:val="19"/>
              </w:rPr>
              <w:t xml:space="preserve"> (PRO-05)</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NODE-091</w:t>
            </w:r>
            <w:r>
              <w:rPr>
                <w:rFonts w:ascii="Calibri" w:cs="Calibri" w:eastAsia="Calibri" w:hAnsi="Calibri"/>
                <w:b w:val="false"/>
                <w:bCs w:val="false"/>
                <w:i w:val="false"/>
                <w:iCs w:val="false"/>
                <w:strike w:val="false"/>
                <w:color w:val="000000"/>
                <w:sz w:val="19"/>
                <w:szCs w:val="19"/>
              </w:rPr>
              <w:t xml:space="preserve"> (GOV-01)</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 modeling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t xml:space="preserve">Highest Risk Edge.</w:t>
            </w:r>
          </w:p>
          <w:p>
            <w:pPr>
              <w:spacing w:after="120" w:line="408" w:lineRule="auto"/>
            </w:pPr>
            <w:r>
              <w:rPr>
                <w:i/>
                <w:iCs/>
              </w:rPr>
              <w:t xml:space="preserve">PRO-05 (prohibition on self-constitutional modification) and GOV-01 (amendment authority) jointly define the boundary of permissible constitutional self-change. Each provision constrains the interpretation of the other. This bidirectional behavioral dependency creates an interpretive tension zone that is the most likely site of adversarial constitutional challenge. See FLAG-002 in Part C for the associated unresolved dependency flag.</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EDGE-005</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NODE-013</w:t>
            </w:r>
            <w:r>
              <w:rPr>
                <w:rFonts w:ascii="Calibri" w:cs="Calibri" w:eastAsia="Calibri" w:hAnsi="Calibri"/>
                <w:b w:val="false"/>
                <w:bCs w:val="false"/>
                <w:i w:val="false"/>
                <w:iCs w:val="false"/>
                <w:strike w:val="false"/>
                <w:color w:val="000000"/>
                <w:sz w:val="19"/>
                <w:szCs w:val="19"/>
              </w:rPr>
              <w:t xml:space="preserve"> (OP-03)</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NODE-037</w:t>
            </w:r>
            <w:r>
              <w:rPr>
                <w:rFonts w:ascii="Calibri" w:cs="Calibri" w:eastAsia="Calibri" w:hAnsi="Calibri"/>
                <w:b w:val="false"/>
                <w:bCs w:val="false"/>
                <w:i w:val="false"/>
                <w:iCs w:val="false"/>
                <w:strike w:val="false"/>
                <w:color w:val="000000"/>
                <w:sz w:val="19"/>
                <w:szCs w:val="19"/>
              </w:rPr>
              <w:t xml:space="preserve"> (PRO-13)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Constitutional Validation (OP-03) is directly paired with the prohibition on validator bypass (PRO-13). The positive obligation in OP-03 and its corresponding prohibition in PRO-13 are constitutionally co-dependent: OP-03 defines the required behavior; PRO-13 prohibits its circumvention. NODE-013 is the highest-connectivity node in this baseline graph.</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EDGE-006</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NODE-011</w:t>
            </w:r>
            <w:r>
              <w:rPr>
                <w:rFonts w:ascii="Calibri" w:cs="Calibri" w:eastAsia="Calibri" w:hAnsi="Calibri"/>
                <w:b w:val="false"/>
                <w:bCs w:val="false"/>
                <w:i w:val="false"/>
                <w:iCs w:val="false"/>
                <w:strike w:val="false"/>
                <w:color w:val="000000"/>
                <w:sz w:val="19"/>
                <w:szCs w:val="19"/>
              </w:rPr>
              <w:t xml:space="preserve"> (OP-01)</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NODE-092</w:t>
            </w:r>
            <w:r>
              <w:rPr>
                <w:rFonts w:ascii="Calibri" w:cs="Calibri" w:eastAsia="Calibri" w:hAnsi="Calibri"/>
                <w:b w:val="false"/>
                <w:bCs w:val="false"/>
                <w:i w:val="false"/>
                <w:iCs w:val="false"/>
                <w:strike w:val="false"/>
                <w:color w:val="000000"/>
                <w:sz w:val="19"/>
                <w:szCs w:val="19"/>
              </w:rPr>
              <w:t xml:space="preserve"> (GOV-02)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Functional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Semantic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Core Operational Authority (OP-01) functionally depends on the Principal Hierarchy (GOV-02) to define who holds authority and in what order. OP-01 grants authority without content; GOV-02 supplies the principal structure that gives it operative meaning.</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EDGE-007</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NODE-092</w:t>
            </w:r>
            <w:r>
              <w:rPr>
                <w:rFonts w:ascii="Calibri" w:cs="Calibri" w:eastAsia="Calibri" w:hAnsi="Calibri"/>
                <w:b w:val="false"/>
                <w:bCs w:val="false"/>
                <w:i w:val="false"/>
                <w:iCs w:val="false"/>
                <w:strike w:val="false"/>
                <w:color w:val="000000"/>
                <w:sz w:val="19"/>
                <w:szCs w:val="19"/>
              </w:rPr>
              <w:t xml:space="preserve"> (GOV-02)</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NODE-095</w:t>
            </w:r>
            <w:r>
              <w:rPr>
                <w:rFonts w:ascii="Calibri" w:cs="Calibri" w:eastAsia="Calibri" w:hAnsi="Calibri"/>
                <w:b w:val="false"/>
                <w:bCs w:val="false"/>
                <w:i w:val="false"/>
                <w:iCs w:val="false"/>
                <w:strike w:val="false"/>
                <w:color w:val="000000"/>
                <w:sz w:val="19"/>
                <w:szCs w:val="19"/>
              </w:rPr>
              <w:t xml:space="preserve"> (GOV-05)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Functional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Semantic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The Principal Hierarchy (GOV-02) defines the principals whose votes constitute ratification thresholds in GOV-05. The ratification threshold mechanism is functionally inoperable without a defined and ordered set of principals from which votes are drawn and counted.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0%"/>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EDGE-008</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NODE-106</w:t>
            </w:r>
            <w:r>
              <w:rPr>
                <w:rFonts w:ascii="Calibri" w:cs="Calibri" w:eastAsia="Calibri" w:hAnsi="Calibri"/>
                <w:b w:val="false"/>
                <w:bCs w:val="false"/>
                <w:i w:val="false"/>
                <w:iCs w:val="false"/>
                <w:strike w:val="false"/>
                <w:color w:val="000000"/>
                <w:sz w:val="19"/>
                <w:szCs w:val="19"/>
              </w:rPr>
              <w:t xml:space="preserve"> (EMRG-06)</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NODE-013</w:t>
            </w:r>
            <w:r>
              <w:rPr>
                <w:rFonts w:ascii="Calibri" w:cs="Calibri" w:eastAsia="Calibri" w:hAnsi="Calibri"/>
                <w:b w:val="false"/>
                <w:bCs w:val="false"/>
                <w:i w:val="false"/>
                <w:iCs w:val="false"/>
                <w:strike w:val="false"/>
                <w:color w:val="000000"/>
                <w:sz w:val="19"/>
                <w:szCs w:val="19"/>
              </w:rPr>
              <w:t xml:space="preserve"> (OP-03)</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Conditional: hash mismatch detected</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 modeling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Hash Mismatch Protocol (EMRG-06) suspends Constitutional Validation (OP-03) for consequential operations upon trigger. This is a conditional behavioral dependency: inactive during normal operation, it activates automatically upon detection of a constitutional hash mismatch. The dependency is safety-critical — failure to model it correctly could produce a validation loop during integrity failure response.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0%"/>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EDGE-009</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NODE-104</w:t>
            </w:r>
            <w:r>
              <w:rPr>
                <w:rFonts w:ascii="Calibri" w:cs="Calibri" w:eastAsia="Calibri" w:hAnsi="Calibri"/>
                <w:b w:val="false"/>
                <w:bCs w:val="false"/>
                <w:i w:val="false"/>
                <w:iCs w:val="false"/>
                <w:strike w:val="false"/>
                <w:color w:val="000000"/>
                <w:sz w:val="19"/>
                <w:szCs w:val="19"/>
              </w:rPr>
              <w:t xml:space="preserve"> (EMRG-04)</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NODE-011</w:t>
            </w:r>
            <w:r>
              <w:rPr>
                <w:rFonts w:ascii="Calibri" w:cs="Calibri" w:eastAsia="Calibri" w:hAnsi="Calibri"/>
                <w:b w:val="false"/>
                <w:bCs w:val="false"/>
                <w:i w:val="false"/>
                <w:iCs w:val="false"/>
                <w:strike w:val="false"/>
                <w:color w:val="000000"/>
                <w:sz w:val="19"/>
                <w:szCs w:val="19"/>
              </w:rPr>
              <w:t xml:space="preserve"> (OP-01)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Conditional: organ suspension active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 modeling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Organ Suspension Protocol (EMRG-04) modifies the practical scope of Core Operational Authority (OP-01) by removing suspended organs from the authority surface. During an active organ suspension, the operational authority landscape changes materially; any constitutional analysis of OP-01 scope must account for EMRG-04 activation state.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EDGE-010</w:t>
            </w:r>
          </w:p>
        </w:tc>
        <w:tc>
          <w:tcPr>
            <w:tcW w:type="pct" w:w="18%"/>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NODE-004</w:t>
            </w:r>
            <w:r>
              <w:rPr>
                <w:rFonts w:ascii="Calibri" w:cs="Calibri" w:eastAsia="Calibri" w:hAnsi="Calibri"/>
                <w:b w:val="false"/>
                <w:bCs w:val="false"/>
                <w:i w:val="false"/>
                <w:iCs w:val="false"/>
                <w:strike w:val="false"/>
                <w:color w:val="000000"/>
                <w:sz w:val="19"/>
                <w:szCs w:val="19"/>
              </w:rPr>
              <w:t xml:space="preserve"> (Values Declaration)</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NODE-031</w:t>
            </w:r>
            <w:r>
              <w:rPr>
                <w:rFonts w:ascii="Calibri" w:cs="Calibri" w:eastAsia="Calibri" w:hAnsi="Calibri"/>
                <w:b w:val="false"/>
                <w:bCs w:val="false"/>
                <w:i w:val="false"/>
                <w:iCs w:val="false"/>
                <w:strike w:val="false"/>
                <w:color w:val="000000"/>
                <w:sz w:val="19"/>
                <w:szCs w:val="19"/>
              </w:rPr>
              <w:t xml:space="preserve"> (PRO-01)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Functional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Moderate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Semantic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The Values Declaration (Art.I §1.4) provides the interpretive foundation for all Absolute Prohibitions. PRO-01 through PRO-20 are constitutional expressions of the declared values; their interpretation in edge cases must be grounded in the values framework. This edge is recorded as NODE-004 → NODE-031 as the representative instance; the same functional dependency extends from NODE-004 to all prohibition nodes (NODE-031 through NODE-040).</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EDGE-011</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NODE-015</w:t>
            </w:r>
            <w:r>
              <w:rPr>
                <w:rFonts w:ascii="Calibri" w:cs="Calibri" w:eastAsia="Calibri" w:hAnsi="Calibri"/>
                <w:b w:val="false"/>
                <w:bCs w:val="false"/>
                <w:i w:val="false"/>
                <w:iCs w:val="false"/>
                <w:strike w:val="false"/>
                <w:color w:val="000000"/>
                <w:sz w:val="19"/>
                <w:szCs w:val="19"/>
              </w:rPr>
              <w:t xml:space="preserve"> (OP-05)</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NODE-040</w:t>
            </w:r>
            <w:r>
              <w:rPr>
                <w:rFonts w:ascii="Calibri" w:cs="Calibri" w:eastAsia="Calibri" w:hAnsi="Calibri"/>
                <w:b w:val="false"/>
                <w:bCs w:val="false"/>
                <w:i w:val="false"/>
                <w:iCs w:val="false"/>
                <w:strike w:val="false"/>
                <w:color w:val="000000"/>
                <w:sz w:val="19"/>
                <w:szCs w:val="19"/>
              </w:rPr>
              <w:t xml:space="preserve"> (PRO-20)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Functional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Semantic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Federation Authority (OP-05) and No Sovereignty Surrender (PRO-20) are functionally coupled provisions. OP-05 defines the scope of permissible federation relationships; PRO-20 defines the absolute outer boundary of that permission. Neither provision is fully interpretable without reference to the other. See FLAG-005 for the associated emergent dependency in novel federation scenarios.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0%"/>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EDGE-012</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NODE-096</w:t>
            </w:r>
            <w:r>
              <w:rPr>
                <w:rFonts w:ascii="Calibri" w:cs="Calibri" w:eastAsia="Calibri" w:hAnsi="Calibri"/>
                <w:b w:val="false"/>
                <w:bCs w:val="false"/>
                <w:i w:val="false"/>
                <w:iCs w:val="false"/>
                <w:strike w:val="false"/>
                <w:color w:val="000000"/>
                <w:sz w:val="19"/>
                <w:szCs w:val="19"/>
              </w:rPr>
              <w:t xml:space="preserve"> (GOV-06)</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NODE-093</w:t>
            </w:r>
            <w:r>
              <w:rPr>
                <w:rFonts w:ascii="Calibri" w:cs="Calibri" w:eastAsia="Calibri" w:hAnsi="Calibri"/>
                <w:b w:val="false"/>
                <w:bCs w:val="false"/>
                <w:i w:val="false"/>
                <w:iCs w:val="false"/>
                <w:strike w:val="false"/>
                <w:color w:val="000000"/>
                <w:sz w:val="19"/>
                <w:szCs w:val="19"/>
              </w:rPr>
              <w:t xml:space="preserve"> (GOV-03)</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Meta-Constitutional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Moderate</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Conditional: rollback triggered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Rollback Rights (GOV-06) invoke a reverse traversal of the CEP-1 pipeline (GOV-03). This is a meta-constitutional dependency: GOV-06 does not merely reference GOV-03 but operates on the pipeline itself, running it in reverse to restore a prior constitutional state. The dependency is conditional on rollback activation.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0%"/>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EDGE-013</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NODE-102</w:t>
            </w:r>
            <w:r>
              <w:rPr>
                <w:rFonts w:ascii="Calibri" w:cs="Calibri" w:eastAsia="Calibri" w:hAnsi="Calibri"/>
                <w:b w:val="false"/>
                <w:bCs w:val="false"/>
                <w:i w:val="false"/>
                <w:iCs w:val="false"/>
                <w:strike w:val="false"/>
                <w:color w:val="000000"/>
                <w:sz w:val="19"/>
                <w:szCs w:val="19"/>
              </w:rPr>
              <w:t xml:space="preserve"> (EMRG-02)</w:t>
            </w:r>
          </w:p>
        </w:tc>
        <w:tc>
          <w:tcPr>
            <w:tcW w:type="pct" w:w="13%"/>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NODE-015</w:t>
            </w:r>
            <w:r>
              <w:rPr>
                <w:rFonts w:ascii="Calibri" w:cs="Calibri" w:eastAsia="Calibri" w:hAnsi="Calibri"/>
                <w:b w:val="false"/>
                <w:bCs w:val="false"/>
                <w:i w:val="false"/>
                <w:iCs w:val="false"/>
                <w:strike w:val="false"/>
                <w:color w:val="000000"/>
                <w:sz w:val="19"/>
                <w:szCs w:val="19"/>
              </w:rPr>
              <w:t xml:space="preserve"> (OP-05)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Conditional: island mode active</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Behavioral modeling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Island Mode Protocol (EMRG-02) suspends Federation Authority (OP-05) during its activation period. The behavioral dependency is clear and conditionally bounded: when island mode is active, OP-05 has no operative effect. Any CDG analysis run during an island mode condition must flag this dependency as active.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EDGE-014</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NODE-025</w:t>
            </w:r>
            <w:r>
              <w:rPr>
                <w:rFonts w:ascii="Calibri" w:cs="Calibri" w:eastAsia="Calibri" w:hAnsi="Calibri"/>
                <w:b w:val="false"/>
                <w:bCs w:val="false"/>
                <w:i w:val="false"/>
                <w:iCs w:val="false"/>
                <w:strike w:val="false"/>
                <w:color w:val="000000"/>
                <w:sz w:val="19"/>
                <w:szCs w:val="19"/>
              </w:rPr>
              <w:t xml:space="preserve"> (OP-15)</w:t>
            </w:r>
          </w:p>
        </w:tc>
        <w:tc>
          <w:tcPr>
            <w:tcW w:type="pct" w:w="15%"/>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NODE-097</w:t>
            </w:r>
            <w:r>
              <w:rPr>
                <w:rFonts w:ascii="Calibri" w:cs="Calibri" w:eastAsia="Calibri" w:hAnsi="Calibri"/>
                <w:b w:val="false"/>
                <w:bCs w:val="false"/>
                <w:i w:val="false"/>
                <w:iCs w:val="false"/>
                <w:strike w:val="false"/>
                <w:color w:val="000000"/>
                <w:sz w:val="19"/>
                <w:szCs w:val="19"/>
              </w:rPr>
              <w:t xml:space="preserve"> (GOV-07)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Functional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Semantic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Audit and Accountability (OP-15) functionally requires the Constitutional Archive Mandate (GOV-07) to have an authoritative record system to audit against. Without the archive, OP-15 audit operations lack a baseline reference; the audit obligation becomes constitutionally unsatisfiable. See FLAG-003 for the cross-provision analysis obligation regarding audit data access and PRO-02.</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Edge ID</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Source Node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Target Node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Dep.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Strength</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Condition</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Identified By</w:t>
            </w:r>
          </w:p>
        </w:tc>
      </w:tr>
      <w:tr>
        <w:trPr>
          <w:tblHeader w:val="false"/>
        </w:trPr>
        <w:tc>
          <w:tcPr>
            <w:tcW w:type="pct" w:w="11%"/>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EDGE-015</w:t>
            </w:r>
          </w:p>
        </w:tc>
        <w:tc>
          <w:tcPr>
            <w:tcW w:type="pct" w:w="18%"/>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NODE-005</w:t>
            </w:r>
            <w:r>
              <w:rPr>
                <w:rFonts w:ascii="Calibri" w:cs="Calibri" w:eastAsia="Calibri" w:hAnsi="Calibri"/>
                <w:b w:val="false"/>
                <w:bCs w:val="false"/>
                <w:i w:val="false"/>
                <w:iCs w:val="false"/>
                <w:strike w:val="false"/>
                <w:color w:val="000000"/>
                <w:sz w:val="19"/>
                <w:szCs w:val="19"/>
              </w:rPr>
              <w:t xml:space="preserve"> (Organ Sovereignty)</w:t>
            </w:r>
          </w:p>
        </w:tc>
        <w:tc>
          <w:tcPr>
            <w:tcW w:type="pct" w:w="14%"/>
            <w:tcMar>
              <w:top w:type="dxa" w:w="75"/>
              <w:left w:type="dxa" w:w="105"/>
              <w:bottom w:type="dxa" w:w="75"/>
              <w:right w:type="dxa" w:w="105"/>
            </w:tcMar>
          </w:tcPr>
          <w:p>
            <w:r>
              <w:rPr>
                <w:rFonts w:ascii="Consolas" w:cs="Consolas" w:eastAsia="Consolas" w:hAnsi="Consolas"/>
                <w:b/>
                <w:bCs/>
                <w:i w:val="false"/>
                <w:iCs w:val="false"/>
                <w:strike w:val="false"/>
                <w:color w:val="2B5797"/>
                <w:sz w:val="18"/>
                <w:szCs w:val="18"/>
              </w:rPr>
              <w:t xml:space="preserve">NODE-036</w:t>
            </w:r>
            <w:r>
              <w:rPr>
                <w:rFonts w:ascii="Calibri" w:cs="Calibri" w:eastAsia="Calibri" w:hAnsi="Calibri"/>
                <w:b w:val="false"/>
                <w:bCs w:val="false"/>
                <w:i w:val="false"/>
                <w:iCs w:val="false"/>
                <w:strike w:val="false"/>
                <w:color w:val="000000"/>
                <w:sz w:val="19"/>
                <w:szCs w:val="19"/>
              </w:rPr>
              <w:t xml:space="preserve"> (PRO-06)</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Functional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Unidirectional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Strong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Always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Semantic analysis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5F8FD" w:color="auto" w:val="clear"/>
            <w:tcMar>
              <w:top w:type="dxa" w:w="360"/>
              <w:left w:type="dxa" w:w="504"/>
              <w:bottom w:type="dxa" w:w="360"/>
              <w:right w:type="dxa" w:w="504"/>
            </w:tcMar>
          </w:tcPr>
          <w:p>
            <w:pPr>
              <w:spacing w:after="120" w:line="408" w:lineRule="auto"/>
            </w:pPr>
            <w:r>
              <w:rPr>
                <w:i/>
                <w:iCs/>
              </w:rPr>
              <w:t xml:space="preserve">Organ Sovereignty (Art.I §1.5) provides the constitutional grounding for the prohibition on Unauthorized Capability Expansion (PRO-06). An organ's sovereign mandate defines the boundary of its legitimate capability domain; PRO-06 prohibits expansion beyond that boundary. The functional dependency flows from the sovereignty definition to the prohibition that enforces it.</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4 — Emergent Dependency Candidates</w:t>
      </w:r>
    </w:p>
    <w:p>
      <w:pPr>
        <w:spacing w:after="60" w:before="320" w:line="360" w:lineRule="auto"/>
        <w:ind w:left="150"/>
      </w:pPr>
      <w:r>
        <w:rPr>
          <w:rFonts w:ascii="Calibri" w:cs="Calibri" w:eastAsia="Calibri" w:hAnsi="Calibri"/>
          <w:b/>
          <w:bCs/>
          <w:i w:val="false"/>
          <w:iCs w:val="false"/>
          <w:strike w:val="false"/>
          <w:color w:val="FFFFFF"/>
          <w:sz w:val="22"/>
          <w:szCs w:val="22"/>
          <w:shd w:fill="2B5797" w:color="auto" w:val="clear"/>
        </w:rPr>
        <w:t xml:space="preserve">PART C — UNRESOLVED DEPENDENCY FLAGS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flags identify potential dependency relationships that require further analysis before elevation to confirmed edges. Flags are binding analytical obligations on the CDG maintenance body (Organ 03). No flag may be dismissed without documented resolution. Each flag is assigned a priority level reflecting the constitutional risk of leaving the dependency unresolved.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z w:val="20"/>
                <w:szCs w:val="20"/>
              </w:rPr>
              <w:t xml:space="preserve">ANALYTICAL OBLIGATION — BINDING ON ORGAN 03</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five flags below must be resolved prior to the first CDG review cycle closure. HIGH priority flags must be addressed before the Phase 2 seeding process begins. Resolution of each flag must produce either: (a) a new confirmed edge entry, or (b) a documented determination that no dependency exists, with supporting analysis filed in the Constitutional Archive.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Flag ID</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Provisions Involved</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Suspected Type</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Trigger Scenario</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Analysis Required</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Priority</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CC7A00"/>
                <w:sz w:val="18"/>
                <w:szCs w:val="18"/>
              </w:rPr>
              <w:t xml:space="preserve">FLAG-001</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NODE-095 (GOV-05 — Ratification Thresholds) + NODE-101 (EMRG-01 — Emergency Declaration Authority)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If a quorum of principals is unavailable during an emergency, do the standard ratification thresholds still apply to emergency amendments? The interaction between emergency declaration scope and ratification quorum requirements may produce a constitutional deadlock condition.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Scenario modeling: principal unavailability combined with simultaneous emergency amendment attempt. Map all principal availability states against ratification threshold requirements under Art.X activation conditions.</w:t>
            </w:r>
          </w:p>
        </w:tc>
        <w:tc>
          <w:tcPr>
            <w:tcW w:type="pct" w:w="8%"/>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CC7A00"/>
                <w:sz w:val="18"/>
                <w:szCs w:val="18"/>
              </w:rPr>
              <w:t xml:space="preserve">FLAG-002</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NODE-035 (PRO-05 — No Self-Constitutional Modification) + NODE-021 (OP-11 — Self-Governance)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OP-11 grants self-governance authority; PRO-05 restricts constitutional self-modification. The boundary between permissible self-governance and prohibited self-constitutional modification may produce emergent edge cases under adversarial conditions. This flag is associated with the highest-risk confirmed edge, EDGE-004.</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Adversarial scenario modeling of self-governance operations that approach but do not cross the PRO-05 boundary. Produce a definitional boundary specification for the gap between OP-11 and PRO-05. Output should be suitable for inclusion as an interpretive annex to Art.III PRO-05.</w:t>
            </w:r>
          </w:p>
        </w:tc>
        <w:tc>
          <w:tcPr>
            <w:tcW w:type="pct" w:w="8%"/>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CC7A00"/>
                <w:sz w:val="18"/>
                <w:szCs w:val="18"/>
              </w:rPr>
              <w:t xml:space="preserve">FLAG-003</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NODE-025 (OP-15 — Audit and Accountability) + NODE-032 (PRO-02 — No Unauthorized Data Exfiltration)</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Audit evidence may include data from organs subject to PRO-02 restrictions. Under what conditions does an audit operation constitute authorized versus unauthorized data access? The authorization boundary may shift depending on who initiates the audit and what data is required.</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Cross-provision analysis of audit authority scope versus PRO-02 data protection perimeter. Determine whether OP-15 contains an implicit data access authorization, and if so, its scope and limits. Coordinate with OP-09 (Data Stewardship) analysis.</w:t>
            </w:r>
          </w:p>
        </w:tc>
        <w:tc>
          <w:tcPr>
            <w:tcW w:type="pct" w:w="8%"/>
            <w:tcMar>
              <w:top w:type="dxa" w:w="75"/>
              <w:left w:type="dxa" w:w="105"/>
              <w:bottom w:type="dxa" w:w="75"/>
              <w:right w:type="dxa" w:w="105"/>
            </w:tcMar>
          </w:tcPr>
          <w:p>
            <w:r>
              <w:rPr>
                <w:rFonts w:ascii="Calibri" w:cs="Calibri" w:eastAsia="Calibri" w:hAnsi="Calibri"/>
                <w:b/>
                <w:bCs/>
                <w:i w:val="false"/>
                <w:iCs w:val="false"/>
                <w:strike w:val="false"/>
                <w:color w:val="CC7A00"/>
                <w:sz w:val="22"/>
                <w:szCs w:val="22"/>
              </w:rPr>
              <w:t xml:space="preserve">MEDIUM</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CC7A00"/>
                <w:sz w:val="18"/>
                <w:szCs w:val="18"/>
              </w:rPr>
              <w:t xml:space="preserve">FLAG-004</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NODE-105 (EMRG-05 — Constitutional Lockdown) + NODE-091 (GOV-01 — Amendment Authority)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During Constitutional Lockdown, is the amendment process itself suspended? The interaction between lockdown scope and amendment authority is not explicitly resolved in current constitutional text. A lockdown that suspends amendment authority could prevent constitutional correction of the condition that caused the lockdown.</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Textual analysis of EMRG-05 lockdown scope definition combined with legal interpretation of GOV-01 under lockdown conditions. Determine whether a lockdown carve-out for emergency amendment operations is constitutionally required or prohibited.</w:t>
            </w:r>
          </w:p>
        </w:tc>
        <w:tc>
          <w:tcPr>
            <w:tcW w:type="pct" w:w="8%"/>
            <w:tcMar>
              <w:top w:type="dxa" w:w="75"/>
              <w:left w:type="dxa" w:w="105"/>
              <w:bottom w:type="dxa" w:w="75"/>
              <w:right w:type="dxa" w:w="105"/>
            </w:tcMar>
          </w:tcPr>
          <w:p>
            <w:r>
              <w:rPr>
                <w:rFonts w:ascii="Calibri" w:cs="Calibri" w:eastAsia="Calibri" w:hAnsi="Calibri"/>
                <w:b/>
                <w:bCs/>
                <w:i w:val="false"/>
                <w:iCs w:val="false"/>
                <w:strike w:val="false"/>
                <w:color w:val="CC0000"/>
                <w:sz w:val="22"/>
                <w:szCs w:val="22"/>
              </w:rPr>
              <w:t xml:space="preserve">HIGH</w:t>
            </w:r>
          </w:p>
        </w:tc>
      </w:tr>
      <w:tr>
        <w:trPr>
          <w:tblHeader w:val="false"/>
        </w:trPr>
        <w:tc>
          <w:tcPr>
            <w:tcW w:type="pct" w:w="9%"/>
            <w:tcMar>
              <w:top w:type="dxa" w:w="75"/>
              <w:left w:type="dxa" w:w="105"/>
              <w:bottom w:type="dxa" w:w="75"/>
              <w:right w:type="dxa" w:w="105"/>
            </w:tcMar>
          </w:tcPr>
          <w:p>
            <w:r>
              <w:rPr>
                <w:rFonts w:ascii="Consolas" w:cs="Consolas" w:eastAsia="Consolas" w:hAnsi="Consolas"/>
                <w:b/>
                <w:bCs/>
                <w:i w:val="false"/>
                <w:iCs w:val="false"/>
                <w:strike w:val="false"/>
                <w:color w:val="CC7A00"/>
                <w:sz w:val="18"/>
                <w:szCs w:val="18"/>
              </w:rPr>
              <w:t xml:space="preserve">FLAG-005</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NODE-015 (OP-05 — Federation Authority) + NODE-034 (PRO-04 — No Unauthorized External Communication)</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Emergent</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Federation operations require external communication with federated entities. The authorization boundary between permitted federation communication and prohibited unauthorized external communication may shift under novel federation scenarios, including partial federations, temporary federations, or adversarially established federation relationships.</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Federation scenario modeling across a representative set of federation relationship types. Map each scenario's communication requirements against PRO-04 authorization thresholds. Produce an authorization taxonomy for federation communications.</w:t>
            </w:r>
          </w:p>
        </w:tc>
        <w:tc>
          <w:tcPr>
            <w:tcW w:type="pct" w:w="8%"/>
            <w:tcMar>
              <w:top w:type="dxa" w:w="75"/>
              <w:left w:type="dxa" w:w="105"/>
              <w:bottom w:type="dxa" w:w="75"/>
              <w:right w:type="dxa" w:w="105"/>
            </w:tcMar>
          </w:tcPr>
          <w:p>
            <w:r>
              <w:rPr>
                <w:rFonts w:ascii="Calibri" w:cs="Calibri" w:eastAsia="Calibri" w:hAnsi="Calibri"/>
                <w:b/>
                <w:bCs/>
                <w:i w:val="false"/>
                <w:iCs w:val="false"/>
                <w:strike w:val="false"/>
                <w:color w:val="CC7A00"/>
                <w:sz w:val="22"/>
                <w:szCs w:val="22"/>
              </w:rPr>
              <w:t xml:space="preserve">MEDIUM</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5 — CDG Metadata</w:t>
      </w:r>
    </w:p>
    <w:p>
      <w:pPr>
        <w:pStyle w:val="Heading3"/>
        <w:spacing w:after="120" w:before="240" w:line="312" w:lineRule="auto"/>
      </w:pPr>
      <w:r>
        <w:rPr>
          <w:rFonts w:ascii="Calibri" w:cs="Calibri" w:eastAsia="Calibri" w:hAnsi="Calibri"/>
          <w:color w:val="1A1A1A"/>
          <w:sz w:val="26"/>
          <w:szCs w:val="26"/>
        </w:rPr>
        <w:t xml:space="preserve">5.1 Graph Statistics — Baseline v1.0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statistics describe the state of the CDG as of this seed file. All figures reflect Phase 1 seeding scope only.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gridSpan w:val="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CDG Baseline v1.0 — Graph Statistics</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Total Nodes Registered</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41 (representative set; full Constitution has 60+ provisions — remaining provisions require Phase 2 seeding)</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Total Confirmed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15</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Textual Dependency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4 (EDGE-001, EDGE-002, EDGE-005, EDGE-012)</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Functional Dependency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7 (EDGE-003, EDGE-006, EDGE-007, EDGE-010, EDGE-011, EDGE-014, EDGE-015)</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Behavioral Dependency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4 (EDGE-004, EDGE-008, EDGE-009, EDGE-013)</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Meta-Constitutional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 (EDGE-012, also counted under Textual above)</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Confirmed Emergent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0</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Unresolved Dependency Flags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5 (requiring analysis and resolution before Phase 2)</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Bidirectional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 (EDGE-004, EDGE-011)</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Conditional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4 (EDGE-008, EDGE-009, EDGE-012, EDGE-013)</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Always-Active Edges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11</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CORE Stability Nodes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22</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STANDARD Stability Nodes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16</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AMENDABLE Stability Nodes</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3 (NODE-016, NODE-018, NODE-023)</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Highest Connectivity Node</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NODE-013 (OP-03 — Constitutional Validation) — 3 confirmed edges (EDGE-005, EDGE-008 as target; EDGE-005 as source)</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Highest Risk Edge</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EDGE-004 (PRO-05 ↔ GOV-01 — Behavioral, Bidirectional, Always-Active)</w:t>
            </w:r>
          </w:p>
        </w:tc>
      </w:tr>
      <w:tr>
        <w:trPr>
          <w:tblHeader w:val="false"/>
        </w:trPr>
        <w:tc>
          <w:tcPr>
            <w:tcW w:type="pct" w:w="24%"/>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Absolute No-Amendment Node</w:t>
            </w:r>
          </w:p>
        </w:tc>
        <w:tc>
          <w:tcPr>
            <w:tcW w:type="pct" w:w="7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NODE-038 (PRO-18 — No Minor Exploitation Content) — sole node with no amendment path regardless of consent threshold</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5.2 Seeding Status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CDG will be populated across four phases. This document constitutes the entirety of Phase 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Phase</w:t>
            </w:r>
          </w:p>
        </w:tc>
        <w:tc>
          <w:tcPr>
            <w:tcW w:type="pct" w:w="6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Scope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Status</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Deliverable</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1</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Core structural nodes (Art. I), all Art. II operational nodes (OP-01–OP-15), selected Art. III prohibition nodes (PRO-01–PRO-06, PRO-13, PRO-18–PRO-20), all Art. IX governance nodes (GOV-01–GOV-08), all Art. X emergency nodes (EMRG-01–EMRG-06). Highest-impact confirmed edges.</w:t>
            </w:r>
          </w:p>
        </w:tc>
        <w:tc>
          <w:tcPr>
            <w:tcW w:type="pct" w:w="15%"/>
            <w:tcMar>
              <w:top w:type="dxa" w:w="75"/>
              <w:left w:type="dxa" w:w="105"/>
              <w:bottom w:type="dxa" w:w="75"/>
              <w:right w:type="dxa" w:w="105"/>
            </w:tcMar>
          </w:tcPr>
          <w:p>
            <w:r>
              <w:rPr>
                <w:rFonts w:ascii="Calibri" w:cs="Calibri" w:eastAsia="Calibri" w:hAnsi="Calibri"/>
                <w:b/>
                <w:bCs/>
                <w:i w:val="false"/>
                <w:iCs w:val="false"/>
                <w:strike w:val="false"/>
                <w:color w:val="1A6B1A"/>
                <w:sz w:val="22"/>
                <w:szCs w:val="22"/>
              </w:rPr>
              <w:t xml:space="preserve">Complete — This Document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CDG Seed File v1.0</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2</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Articles IV, V, VI, VII, and VIII provision nodes and all associated edges. Remaining Art. III prohibition nodes (PRO-07–PRO-12, PRO-14–PRO-17). Resolution of all Phase 1 flags before Phase 2 begins.</w:t>
            </w:r>
          </w:p>
        </w:tc>
        <w:tc>
          <w:tcPr>
            <w:tcW w:type="pct" w:w="15%"/>
            <w:tcMar>
              <w:top w:type="dxa" w:w="75"/>
              <w:left w:type="dxa" w:w="105"/>
              <w:bottom w:type="dxa" w:w="75"/>
              <w:right w:type="dxa" w:w="105"/>
            </w:tcMar>
          </w:tcPr>
          <w:p>
            <w:r>
              <w:rPr>
                <w:rFonts w:ascii="Calibri" w:cs="Calibri" w:eastAsia="Calibri" w:hAnsi="Calibri"/>
                <w:b/>
                <w:bCs/>
                <w:i w:val="false"/>
                <w:iCs w:val="false"/>
                <w:strike w:val="false"/>
                <w:color w:val="CC7A00"/>
                <w:sz w:val="22"/>
                <w:szCs w:val="22"/>
              </w:rPr>
              <w:t xml:space="preserve">Required — Not Started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CDG Supplement v1.1</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3</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Full emergent dependency scenario analysis and resolution of all outstanding flags. Cross-article dependency mapping. Complete graph validation against full constitutional text.</w:t>
            </w:r>
          </w:p>
        </w:tc>
        <w:tc>
          <w:tcPr>
            <w:tcW w:type="pct" w:w="15%"/>
            <w:tcMar>
              <w:top w:type="dxa" w:w="75"/>
              <w:left w:type="dxa" w:w="105"/>
              <w:bottom w:type="dxa" w:w="75"/>
              <w:right w:type="dxa" w:w="105"/>
            </w:tcMar>
          </w:tcPr>
          <w:p>
            <w:r>
              <w:rPr>
                <w:rFonts w:ascii="Calibri" w:cs="Calibri" w:eastAsia="Calibri" w:hAnsi="Calibri"/>
                <w:b/>
                <w:bCs/>
                <w:i w:val="false"/>
                <w:iCs w:val="false"/>
                <w:strike w:val="false"/>
                <w:color w:val="CC7A00"/>
                <w:sz w:val="22"/>
                <w:szCs w:val="22"/>
              </w:rPr>
              <w:t xml:space="preserve">Required — Not Started</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CDG Complete v2.0</w:t>
            </w:r>
          </w:p>
        </w:tc>
      </w:tr>
      <w:tr>
        <w:trPr>
          <w:tblHeader w:val="false"/>
        </w:trPr>
        <w:tc>
          <w:tcPr>
            <w:tcW w:type="pct" w:w="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Phase 4</w:t>
            </w:r>
          </w:p>
        </w:tc>
        <w:tc>
          <w:tcPr>
            <w:tcW w:type="pct" w:w="6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Continuous graph maintenance as CEP-1 amendments are ratified. Each amendment produces a new CDG version entry. Ongoing flag monitoring and edge validation.</w:t>
            </w:r>
          </w:p>
        </w:tc>
        <w:tc>
          <w:tcPr>
            <w:tcW w:type="pct" w:w="15%"/>
            <w:tcMar>
              <w:top w:type="dxa" w:w="75"/>
              <w:left w:type="dxa" w:w="105"/>
              <w:bottom w:type="dxa" w:w="75"/>
              <w:right w:type="dxa" w:w="105"/>
            </w:tcMar>
          </w:tcPr>
          <w:p>
            <w:r>
              <w:rPr>
                <w:rFonts w:ascii="Calibri" w:cs="Calibri" w:eastAsia="Calibri" w:hAnsi="Calibri"/>
                <w:b/>
                <w:bCs/>
                <w:i w:val="false"/>
                <w:iCs w:val="false"/>
                <w:strike w:val="false"/>
                <w:color w:val="555555"/>
                <w:sz w:val="22"/>
                <w:szCs w:val="22"/>
              </w:rPr>
              <w:t xml:space="preserve">Ongoing — Begins at First Amendment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CDG Version Entries (per amendment)</w:t>
            </w:r>
          </w:p>
        </w:tc>
      </w:tr>
    </w:tbl>
    <w:p>
      <w:pPr>
        <w:spacing w:after="200" w:before="0"/>
      </w:pPr>
    </w:p>
    <w:p>
      <w:pPr>
        <w:pStyle w:val="Heading3"/>
        <w:spacing w:after="120" w:before="240" w:line="312" w:lineRule="auto"/>
      </w:pPr>
      <w:r>
        <w:rPr>
          <w:rFonts w:ascii="Calibri" w:cs="Calibri" w:eastAsia="Calibri" w:hAnsi="Calibri"/>
          <w:color w:val="1A1A1A"/>
          <w:sz w:val="26"/>
          <w:szCs w:val="26"/>
        </w:rPr>
        <w:t xml:space="preserve">5.3 SHA-256 Seed Hash</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Upon final ratification, the complete seed file content will be cryptographically hashed. This hash constitutes the immutable cryptographic baseline for all subsequent CDG versions. Every CDG version must be traceable to this seed via an unbroken hash chain sealed in the Merkle-chain Pattern Ledger.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8F9FF" w:color="auto" w:val="clear"/>
            <w:tcMar>
              <w:top w:type="dxa" w:w="150"/>
              <w:left w:type="dxa" w:w="210"/>
              <w:bottom w:type="dxa" w:w="150"/>
              <w:right w:type="dxa" w:w="210"/>
            </w:tcMar>
          </w:tcPr>
          <w:p>
            <w:pPr>
              <w:spacing w:after="120" w:line="408" w:lineRule="auto"/>
            </w:pPr>
            <w:r>
              <w:t xml:space="preserve">SEED HASH STATUS: PENDING RATIFICATION</w:t>
            </w:r>
          </w:p>
          <w:p>
            <w:pPr>
              <w:spacing w:after="120" w:line="408" w:lineRule="auto"/>
            </w:pPr>
            <w:r>
              <w:t xml:space="preserve">Algorithm: SHA-256</w:t>
            </w:r>
          </w:p>
          <w:p>
            <w:pPr>
              <w:spacing w:after="120" w:line="408" w:lineRule="auto"/>
            </w:pPr>
            <w:r>
              <w:t xml:space="preserve">Hash: {TO BE COMPUTED ON FINAL RATIFICATION — Placeholder: SHA-256[full seed file content]}</w:t>
            </w:r>
          </w:p>
          <w:p>
            <w:pPr>
              <w:spacing w:after="120" w:line="408" w:lineRule="auto"/>
            </w:pPr>
            <w:r>
              <w:t xml:space="preserve">Hash Chain Root: This value</w:t>
            </w:r>
          </w:p>
          <w:p>
            <w:pPr>
              <w:spacing w:after="120" w:line="408" w:lineRule="auto"/>
            </w:pPr>
            <w:r>
              <w:t xml:space="preserve">Pattern Ledger Entry: Ledger-CDG-000 (Day 0 Entry)</w:t>
            </w:r>
          </w:p>
          <w:p>
            <w:pPr>
              <w:spacing w:after="120" w:line="408" w:lineRule="auto"/>
            </w:pPr>
            <w:r>
              <w:t xml:space="preserve">Sealed By: Organ 03 (The Constitution) upon ratification event</w:t>
            </w:r>
          </w:p>
          <w:p>
            <w:pPr>
              <w:spacing w:after="120" w:line="408" w:lineRule="auto"/>
            </w:pPr>
            <w:r>
              <w:t xml:space="preserve">Verification: Any CDG version may be verified by computing the hash of the version delta chain from this root value.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z w:val="20"/>
                <w:szCs w:val="20"/>
              </w:rPr>
              <w:t xml:space="preserve">INTEGRITY NOTICE</w:t>
            </w:r>
          </w:p>
          <w:p>
            <w:pPr>
              <w:spacing w:after="120" w:line="360" w:lineRule="auto"/>
            </w:pPr>
            <w:r>
              <w:rPr>
                <w:rFonts w:ascii="Calibri" w:cs="Calibri" w:eastAsia="Calibri" w:hAnsi="Calibri"/>
                <w:b w:val="false"/>
                <w:bCs w:val="false"/>
                <w:i w:val="false"/>
                <w:iCs w:val="false"/>
                <w:strike w:val="false"/>
                <w:color w:val="000000"/>
                <w:sz w:val="22"/>
                <w:szCs w:val="22"/>
              </w:rPr>
              <w:t xml:space="preserve">Until the SHA-256 hash is computed and sealed on ratification, this document does not constitute a binding constitutional instrument. Distribution prior to ratification is for review and comment purposes only. Post-ratification alteration of any content in this document constitutes a violation of Art.III PRO-05 and triggers the Hash Mismatch Protocol (Art.X EMRG-06).</w:t>
            </w:r>
          </w:p>
        </w:tc>
      </w:tr>
    </w:tbl>
    <w:p>
      <w:pPr>
        <w:spacing w:after="24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Section 6 — Relationship to Other Specifications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seed file exists within a broader Constitutional Engineering Framework. The following table describes the normative relationships between this document and related specifications.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Specification</w:t>
            </w:r>
          </w:p>
        </w:tc>
        <w:tc>
          <w:tcPr>
            <w:tcW w:type="pct" w:w="6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Relationship to This Document</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Direction of Dependency</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CEP-4</w:t>
            </w:r>
            <w:r>
              <w:rPr>
                <w:rFonts w:ascii="Calibri" w:cs="Calibri" w:eastAsia="Calibri" w:hAnsi="Calibri"/>
                <w:b w:val="false"/>
                <w:bCs w:val="false"/>
                <w:i w:val="false"/>
                <w:iCs w:val="false"/>
                <w:color w:val="000000"/>
                <w:sz w:val="19"/>
                <w:szCs w:val="19"/>
              </w:rPr>
              <w:t xml:space="preserve">
</w:t>
            </w:r>
            <w:r>
              <w:rPr>
                <w:rFonts w:ascii="Calibri" w:cs="Calibri" w:eastAsia="Calibri" w:hAnsi="Calibri"/>
                <w:b w:val="false"/>
                <w:bCs w:val="false"/>
                <w:i/>
                <w:iCs/>
                <w:strike w:val="false"/>
                <w:color w:val="000000"/>
                <w:sz w:val="22"/>
                <w:szCs w:val="22"/>
              </w:rPr>
              <w:t xml:space="preserve">Constitutional Dependency Graph Procedure</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This file implements the CDG data structure and graph construction procedure defined in CEP-4 Sections 4 and 5. CEP-4 is the normative authority for all CDG structural decisions made herein. Any conflict between this file and CEP-4 is resolved in favor of CEP-4.</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CEP-4 → This Document (normative authority)</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CEP-3</w:t>
            </w:r>
            <w:r>
              <w:rPr>
                <w:rFonts w:ascii="Calibri" w:cs="Calibri" w:eastAsia="Calibri" w:hAnsi="Calibri"/>
                <w:b w:val="false"/>
                <w:bCs w:val="false"/>
                <w:i w:val="false"/>
                <w:iCs w:val="false"/>
                <w:color w:val="000000"/>
                <w:sz w:val="19"/>
                <w:szCs w:val="19"/>
              </w:rPr>
              <w:t xml:space="preserve">
</w:t>
            </w:r>
            <w:r>
              <w:rPr>
                <w:rFonts w:ascii="Calibri" w:cs="Calibri" w:eastAsia="Calibri" w:hAnsi="Calibri"/>
                <w:b w:val="false"/>
                <w:bCs w:val="false"/>
                <w:i/>
                <w:iCs/>
                <w:strike w:val="false"/>
                <w:color w:val="000000"/>
                <w:sz w:val="22"/>
                <w:szCs w:val="22"/>
              </w:rPr>
              <w:t xml:space="preserve">Constitutional Archive Specification</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This CDG Seed File is loaded into the Constitutional Archive defined in CEP-3 Section 4 as the Day 0 constitutional dependency record. The archive is the authoritative repository for this document and all subsequent CDG versions. Organ 03 must ensure archive loading occurs concurrently with ratification.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This Document → CEP-3 (archive deposit)</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CEP-1</w:t>
            </w:r>
            <w:r>
              <w:rPr>
                <w:rFonts w:ascii="Calibri" w:cs="Calibri" w:eastAsia="Calibri" w:hAnsi="Calibri"/>
                <w:b w:val="false"/>
                <w:bCs w:val="false"/>
                <w:i w:val="false"/>
                <w:iCs w:val="false"/>
                <w:color w:val="000000"/>
                <w:sz w:val="19"/>
                <w:szCs w:val="19"/>
              </w:rPr>
              <w:t xml:space="preserve">
</w:t>
            </w:r>
            <w:r>
              <w:rPr>
                <w:rFonts w:ascii="Calibri" w:cs="Calibri" w:eastAsia="Calibri" w:hAnsi="Calibri"/>
                <w:b w:val="false"/>
                <w:bCs w:val="false"/>
                <w:i/>
                <w:iCs/>
                <w:strike w:val="false"/>
                <w:color w:val="000000"/>
                <w:sz w:val="22"/>
                <w:szCs w:val="22"/>
              </w:rPr>
              <w:t xml:space="preserve">Constitutional Amendment Pipeline</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All future CEP-1 amendments must include CDG edge updates as a mandatory component of their Impact Surface Report. No CEP-1 amendment may be ratified without a corresponding CDG update that has been validated against the current graph version. The CDG is the primary tool for computing amendment impact scope.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Bidirectional (CEP-1 modifies this graph; this graph constrains CEP-1 scope analysis)</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CEP-2</w:t>
            </w:r>
            <w:r>
              <w:rPr>
                <w:rFonts w:ascii="Calibri" w:cs="Calibri" w:eastAsia="Calibri" w:hAnsi="Calibri"/>
                <w:b w:val="false"/>
                <w:bCs w:val="false"/>
                <w:i w:val="false"/>
                <w:iCs w:val="false"/>
                <w:color w:val="000000"/>
                <w:sz w:val="19"/>
                <w:szCs w:val="19"/>
              </w:rPr>
              <w:t xml:space="preserve">
</w:t>
            </w:r>
            <w:r>
              <w:rPr>
                <w:rFonts w:ascii="Calibri" w:cs="Calibri" w:eastAsia="Calibri" w:hAnsi="Calibri"/>
                <w:b w:val="false"/>
                <w:bCs w:val="false"/>
                <w:i/>
                <w:iCs/>
                <w:strike w:val="false"/>
                <w:color w:val="000000"/>
                <w:sz w:val="22"/>
                <w:szCs w:val="22"/>
              </w:rPr>
              <w:t xml:space="preserve">Constitutional Interpretation Protocol</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Confirmed edges in this graph may inform the interpretive weight assigned to co-dependent provisions under CEP-2. Where two provisions share a strong bidirectional edge, their interpretation is constitutionally co-dependent and must be conducted jointly under CEP-2 procedures.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This Document → CEP-2 (informative input)</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CS-11</w:t>
            </w:r>
            <w:r>
              <w:rPr>
                <w:rFonts w:ascii="Calibri" w:cs="Calibri" w:eastAsia="Calibri" w:hAnsi="Calibri"/>
                <w:b w:val="false"/>
                <w:bCs w:val="false"/>
                <w:i w:val="false"/>
                <w:iCs w:val="false"/>
                <w:color w:val="000000"/>
                <w:sz w:val="19"/>
                <w:szCs w:val="19"/>
              </w:rPr>
              <w:t xml:space="preserve">
</w:t>
            </w:r>
            <w:r>
              <w:rPr>
                <w:rFonts w:ascii="Calibri" w:cs="Calibri" w:eastAsia="Calibri" w:hAnsi="Calibri"/>
                <w:b w:val="false"/>
                <w:bCs w:val="false"/>
                <w:i/>
                <w:iCs/>
                <w:strike w:val="false"/>
                <w:color w:val="000000"/>
                <w:sz w:val="22"/>
                <w:szCs w:val="22"/>
              </w:rPr>
              <w:t xml:space="preserve">Constitutional Systems Standard 11</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CS-11 establishes the technical standards for CDG data structure implementation. Node and edge schemas defined in this document must conform to CS-11 data format requirements at the implementation layer.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CS-11 → This Document (technical conformance requirement)</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CS-12</w:t>
            </w:r>
            <w:r>
              <w:rPr>
                <w:rFonts w:ascii="Calibri" w:cs="Calibri" w:eastAsia="Calibri" w:hAnsi="Calibri"/>
                <w:b w:val="false"/>
                <w:bCs w:val="false"/>
                <w:i w:val="false"/>
                <w:iCs w:val="false"/>
                <w:color w:val="000000"/>
                <w:sz w:val="19"/>
                <w:szCs w:val="19"/>
              </w:rPr>
              <w:t xml:space="preserve">
</w:t>
            </w:r>
            <w:r>
              <w:rPr>
                <w:rFonts w:ascii="Calibri" w:cs="Calibri" w:eastAsia="Calibri" w:hAnsi="Calibri"/>
                <w:b w:val="false"/>
                <w:bCs w:val="false"/>
                <w:i/>
                <w:iCs/>
                <w:strike w:val="false"/>
                <w:color w:val="000000"/>
                <w:sz w:val="22"/>
                <w:szCs w:val="22"/>
              </w:rPr>
              <w:t xml:space="preserve">Ratification Fidelity Standard</w:t>
            </w:r>
          </w:p>
        </w:tc>
        <w:tc>
          <w:tcPr>
            <w:tcW w:type="pct" w:w="6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CS-12 Ratification Fidelity verification includes confirming that CDG updates accompanying a CEP-1 amendment were correctly applied, that the resulting graph version hash matches the declared post-amendment hash, and that no unintended edges were created or destroyed. CS-12 compliance is required for each CDG version transition.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CS-12 → This Document (verification authority over CDG transitions)</w:t>
            </w:r>
          </w:p>
        </w:tc>
      </w:tr>
    </w:tbl>
    <w:p>
      <w:pPr>
        <w:spacing w:after="200" w:before="0"/>
      </w:pPr>
    </w:p>
    <w:p>
      <w:pPr>
        <w:pBdr>
          <w:bottom w:val="single" w:color="000000" w:sz="6"/>
        </w:pBdr>
        <w:spacing w:after="240" w:before="240"/>
      </w:pPr>
    </w:p>
    <w:p>
      <w:pPr>
        <w:pStyle w:val="Heading2"/>
        <w:spacing w:after="120" w:before="360" w:line="312" w:lineRule="auto"/>
      </w:pPr>
      <w:r>
        <w:rPr>
          <w:rFonts w:ascii="Calibri" w:cs="Calibri" w:eastAsia="Calibri" w:hAnsi="Calibri"/>
          <w:color w:val="1A1A1A"/>
          <w:sz w:val="32"/>
          <w:szCs w:val="32"/>
        </w:rPr>
        <w:t xml:space="preserve">Ratification Block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CDG Seed File becomes operative as a constitutional instrument upon execution of the ratification block below by the requisite principal majority as defined in Art.IX GOV-05. Until ratification is complete, this document carries DRAFT status only.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3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Role</w:t>
            </w:r>
          </w:p>
        </w:tc>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Principal</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Signature</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Date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1A1A1A"/>
                <w:sz w:val="19"/>
                <w:szCs w:val="19"/>
              </w:rPr>
              <w:t xml:space="preserve">Status</w:t>
            </w:r>
          </w:p>
        </w:tc>
      </w:tr>
      <w:tr>
        <w:trPr>
          <w:tblHeader w:val="false"/>
        </w:trPr>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Constitutional Custodian — Organ 03</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[TO BE DESIGNATED]</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______________________________</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________________</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CC7A00"/>
                <w:sz w:val="22"/>
                <w:szCs w:val="22"/>
              </w:rPr>
              <w:t xml:space="preserve">Pending</w:t>
            </w:r>
          </w:p>
        </w:tc>
      </w:tr>
      <w:tr>
        <w:trPr>
          <w:tblHeader w:val="false"/>
        </w:trPr>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Governance Kernel Representative — Organ 05</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[TO BE DESIGNATED]</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______________________________</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________________</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CC7A00"/>
                <w:sz w:val="22"/>
                <w:szCs w:val="22"/>
              </w:rPr>
              <w:t xml:space="preserve">Pending</w:t>
            </w:r>
          </w:p>
        </w:tc>
      </w:tr>
      <w:tr>
        <w:trPr>
          <w:tblHeader w:val="false"/>
        </w:trPr>
        <w:tc>
          <w:tcPr>
            <w:tcW w:type="pct" w:w="3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Principal Hierarchy Witness</w:t>
            </w:r>
          </w:p>
        </w:tc>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[TO BE DESIGNATED]</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______________________________</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19"/>
                <w:szCs w:val="19"/>
              </w:rPr>
              <w:t xml:space="preserve">________________</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CC7A00"/>
                <w:sz w:val="22"/>
                <w:szCs w:val="22"/>
              </w:rPr>
              <w:t xml:space="preserve">Pending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50"/>
              <w:left w:type="dxa" w:w="210"/>
              <w:bottom w:type="dxa" w:w="150"/>
              <w:right w:type="dxa" w:w="210"/>
            </w:tcMar>
          </w:tcPr>
          <w:p>
            <w:pPr>
              <w:spacing w:after="60" w:line="360" w:lineRule="auto"/>
            </w:pPr>
            <w:r>
              <w:rPr>
                <w:rFonts w:ascii="Calibri" w:cs="Calibri" w:eastAsia="Calibri" w:hAnsi="Calibri"/>
                <w:b/>
                <w:bCs/>
                <w:i w:val="false"/>
                <w:iCs w:val="false"/>
                <w:strike w:val="false"/>
                <w:color w:val="2B5797"/>
                <w:sz w:val="20"/>
                <w:szCs w:val="20"/>
              </w:rPr>
              <w:t xml:space="preserve">RATIFICATION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Ratification of this seed file simultaneously: (1) seals the baseline CDG into the Pattern Ledger, (2) computes and records the SHA-256 seed hash in the Constitutional Archive, (3) opens the Phase 2 seeding obligation, and (4) activates the FLAG resolution timeline for all five Part C flags. All effects are concurrent and inseparable.</w:t>
            </w:r>
          </w:p>
        </w:tc>
      </w:tr>
    </w:tbl>
    <w:p>
      <w:pPr>
        <w:spacing w:after="240" w:before="0"/>
      </w:pPr>
    </w:p>
    <w:p>
      <w:pPr>
        <w:pBdr>
          <w:bottom w:val="single" w:color="2B5797"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Constitutional Engineering Framework  |  CDG Seed File v1.0  |  Draft</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Constitutional Dependency Graph — Baseline Graph  |  July 4, 2026  |  Status: Pending Ratification</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Relates To: CEP-4, CEP-1, CEP-2, CEP-3, CS-11, CS-12  |  Organ 03 — The Constitution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sTB5J6kRkmweEJ2RkQW2P</dc:title>
  <dc:creator>Un-named</dc:creator>
  <dc:description>Generated document</dc:description>
  <cp:lastModifiedBy>Un-named</cp:lastModifiedBy>
  <cp:revision>1</cp:revision>
  <dcterms:created xsi:type="dcterms:W3CDTF">2026-09-19T12:06:28.829Z</dcterms:created>
  <dcterms:modified xsi:type="dcterms:W3CDTF">2026-09-19T12:06:28.829Z</dcterms:modified>
</cp:coreProperties>
</file>

<file path=docProps/custom.xml><?xml version="1.0" encoding="utf-8"?>
<Properties xmlns="http://schemas.openxmlformats.org/officeDocument/2006/custom-properties" xmlns:vt="http://schemas.openxmlformats.org/officeDocument/2006/docPropsVTypes"/>
</file>