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28"/>
        </w:rPr>
        <w:t>CONSTITUTIONAL ENGINEERING PROPOSAL</w:t>
      </w:r>
    </w:p>
    <w:p>
      <w:pPr>
        <w:spacing w:after="80"/>
      </w:pPr>
      <w:r>
        <w:rPr>
          <w:b/>
          <w:color w:val="1F3A5F"/>
          <w:sz w:val="28"/>
        </w:rPr>
        <w:t>CEP-2: Constitutional Boundary Test</w:t>
      </w:r>
    </w:p>
    <w:p>
      <w:r>
        <w:rPr>
          <w:b w:val="0"/>
          <w:i/>
        </w:rPr>
        <w:t>Specification for the Deterministic Classification of Constitutional and Operational Change</w:t>
      </w:r>
    </w:p>
    <w:tbl>
      <w:tblPr>
        <w:tblStyle w:val="TableGrid"/>
        <w:tblW w:type="auto" w:w="0"/>
        <w:tblLook w:firstColumn="1" w:firstRow="1" w:lastColumn="0" w:lastRow="0" w:noHBand="0" w:noVBand="1" w:val="04A0"/>
      </w:tblPr>
      <w:tblGrid>
        <w:gridCol w:w="4824"/>
        <w:gridCol w:w="4824"/>
      </w:tblGrid>
      <w:tr>
        <w:tc>
          <w:tcPr>
            <w:tcW w:type="dxa" w:w="2304"/>
          </w:tcPr>
          <w:p>
            <w:r/>
            <w:r>
              <w:rPr>
                <w:b/>
              </w:rPr>
              <w:t>Field</w:t>
            </w:r>
          </w:p>
        </w:tc>
        <w:tc>
          <w:tcPr>
            <w:tcW w:type="dxa" w:w="7056"/>
          </w:tcPr>
          <w:p>
            <w:r/>
            <w:r>
              <w:rPr>
                <w:b/>
              </w:rPr>
              <w:t>Value</w:t>
            </w:r>
          </w:p>
        </w:tc>
      </w:tr>
      <w:tr>
        <w:tc>
          <w:tcPr>
            <w:tcW w:type="dxa" w:w="2304"/>
          </w:tcPr>
          <w:p>
            <w:r>
              <w:t>CEP Number</w:t>
            </w:r>
          </w:p>
        </w:tc>
        <w:tc>
          <w:tcPr>
            <w:tcW w:type="dxa" w:w="7056"/>
          </w:tcPr>
          <w:p>
            <w:r>
              <w:t>CEP-2</w:t>
            </w:r>
          </w:p>
        </w:tc>
      </w:tr>
      <w:tr>
        <w:tc>
          <w:tcPr>
            <w:tcW w:type="dxa" w:w="2304"/>
          </w:tcPr>
          <w:p>
            <w:r>
              <w:t>Title</w:t>
            </w:r>
          </w:p>
        </w:tc>
        <w:tc>
          <w:tcPr>
            <w:tcW w:type="dxa" w:w="7056"/>
          </w:tcPr>
          <w:p>
            <w:r>
              <w:t>Constitutional Boundary Test</w:t>
            </w:r>
          </w:p>
        </w:tc>
      </w:tr>
      <w:tr>
        <w:tc>
          <w:tcPr>
            <w:tcW w:type="dxa" w:w="2304"/>
          </w:tcPr>
          <w:p>
            <w:r>
              <w:t>Status</w:t>
            </w:r>
          </w:p>
        </w:tc>
        <w:tc>
          <w:tcPr>
            <w:tcW w:type="dxa" w:w="7056"/>
          </w:tcPr>
          <w:p>
            <w:r>
              <w:t>Draft</w:t>
            </w:r>
          </w:p>
        </w:tc>
      </w:tr>
      <w:tr>
        <w:tc>
          <w:tcPr>
            <w:tcW w:type="dxa" w:w="2304"/>
          </w:tcPr>
          <w:p>
            <w:r>
              <w:t>Version</w:t>
            </w:r>
          </w:p>
        </w:tc>
        <w:tc>
          <w:tcPr>
            <w:tcW w:type="dxa" w:w="7056"/>
          </w:tcPr>
          <w:p>
            <w:r>
              <w:t>1.0</w:t>
            </w:r>
          </w:p>
        </w:tc>
      </w:tr>
      <w:tr>
        <w:tc>
          <w:tcPr>
            <w:tcW w:type="dxa" w:w="2304"/>
          </w:tcPr>
          <w:p>
            <w:r>
              <w:t>Date</w:t>
            </w:r>
          </w:p>
        </w:tc>
        <w:tc>
          <w:tcPr>
            <w:tcW w:type="dxa" w:w="7056"/>
          </w:tcPr>
          <w:p>
            <w:r>
              <w:t>July 4, 2026</w:t>
            </w:r>
          </w:p>
        </w:tc>
      </w:tr>
      <w:tr>
        <w:tc>
          <w:tcPr>
            <w:tcW w:type="dxa" w:w="2304"/>
          </w:tcPr>
          <w:p>
            <w:r>
              <w:t>Relates To</w:t>
            </w:r>
          </w:p>
        </w:tc>
        <w:tc>
          <w:tcPr>
            <w:tcW w:type="dxa" w:w="7056"/>
          </w:tcPr>
          <w:p>
            <w:r>
              <w:t>CEP-1, CEP-3, CEP-4, CS-11, CS-12</w:t>
            </w:r>
          </w:p>
        </w:tc>
      </w:tr>
      <w:tr>
        <w:tc>
          <w:tcPr>
            <w:tcW w:type="dxa" w:w="2304"/>
          </w:tcPr>
          <w:p>
            <w:r>
              <w:t>Abstract</w:t>
            </w:r>
          </w:p>
        </w:tc>
        <w:tc>
          <w:tcPr>
            <w:tcW w:type="dxa" w:w="7056"/>
          </w:tcPr>
          <w:p>
            <w:r>
              <w:t>CEP-2 defines the deterministic decision procedure for classifying whether a proposed change requires CEP-1 processing (constitutional) or may proceed through standard channels (operational). The test replaces evaluation-by-intent with five binary-testable Constitutional Impact Criteria (C1 through C5), eliminating governance inflation — the miscategorization of changes across the constitutional/operational boundary. A single affirmative criterion is sufficient for constitutional classification. All five negative results produce operational classification. Classification is performed by an evaluator independent of the proposing party. The procedure is founded on the principle that intent is not auditable while impact is.</w:t>
            </w:r>
          </w:p>
        </w:tc>
      </w:tr>
      <w:tr>
        <w:tc>
          <w:tcPr>
            <w:tcW w:type="dxa" w:w="2304"/>
          </w:tcPr>
          <w:p>
            <w:r>
              <w:t>Scope Boundary</w:t>
            </w:r>
          </w:p>
        </w:tc>
        <w:tc>
          <w:tcPr>
            <w:tcW w:type="dxa" w:w="7056"/>
          </w:tcPr>
          <w:p>
            <w:r>
              <w:t>CEP-2 does not define constitutional content or ratification thresholds; it defines the classification gate that determines which processing pathway a proposed change enters. CEP-2 does not govern the substance of CEP-1 amendment proposals once classified as constitutional.</w:t>
            </w:r>
          </w:p>
        </w:tc>
      </w:tr>
    </w:tbl>
    <w:p>
      <w:pPr>
        <w:spacing w:after="80"/>
      </w:pPr>
      <w:r>
        <w:rPr>
          <w:b/>
          <w:color w:val="1F3A5F"/>
          <w:sz w:val="28"/>
        </w:rPr>
        <w:t>SECTION 1 — PURPOSE AND SCOPE</w:t>
      </w:r>
    </w:p>
    <w:p>
      <w:pPr>
        <w:spacing w:before="120" w:after="40"/>
      </w:pPr>
      <w:r>
        <w:rPr>
          <w:b/>
          <w:sz w:val="23"/>
        </w:rPr>
        <w:t>1.1 The Classification Problem</w:t>
      </w:r>
    </w:p>
    <w:p>
      <w:r>
        <w:rPr>
          <w:b w:val="0"/>
          <w:i w:val="0"/>
        </w:rPr>
        <w:t>Governance inflation is one of the three primary failure modes of governed AI systems. It has two directions, and both are corrosive. When operational changes are miscategorized as constitutional, they are forced through full ratification, creating bottlenecks that slow legitimate maintenance and erode respect for the pipeline. When constitutional changes are miscategorized as operational, they bypass required process entirely, permitting authority redistribution, threshold modification, or architectural change without ratification. The second direction is the more dangerous: it is constitutional change without process posed as ordinary maintenance.</w:t>
      </w:r>
    </w:p>
    <w:p>
      <w:pPr>
        <w:spacing w:before="120" w:after="40"/>
      </w:pPr>
      <w:r>
        <w:rPr>
          <w:b/>
          <w:sz w:val="23"/>
        </w:rPr>
        <w:t>1.2 Why Intent Is Not a Valid Criterion</w:t>
      </w:r>
    </w:p>
    <w:p>
      <w:r>
        <w:rPr>
          <w:b w:val="0"/>
          <w:i w:val="0"/>
        </w:rPr>
        <w:t>If boundary classification depends on author intent, different evaluators will reach different conclusions from the same change. Intent is not auditable; impact criteria are. CEP-2 therefore eliminates intent from the classification process entirely, replacing it with five criteria that reference observable properties of the proposed change itself. Two proposals with identical impact surfaces receive identical classifications regardless of the stated purpose, identity, or authority of the proposing party.</w:t>
      </w:r>
    </w:p>
    <w:p>
      <w:pPr>
        <w:spacing w:before="120" w:after="40"/>
      </w:pPr>
      <w:r>
        <w:rPr>
          <w:b/>
          <w:sz w:val="23"/>
        </w:rPr>
        <w:t>1.3 Scope</w:t>
      </w:r>
    </w:p>
    <w:p>
      <w:r>
        <w:rPr>
          <w:b w:val="0"/>
          <w:i w:val="0"/>
        </w:rPr>
        <w:t>CEP-2 applies to:</w:t>
      </w:r>
    </w:p>
    <w:p>
      <w:pPr>
        <w:pStyle w:val="ListBullet"/>
      </w:pPr>
      <w:r>
        <w:t>Every proposed change to the organism's constitutional surface, however captured, however small, and whatever the stated motivation.</w:t>
      </w:r>
    </w:p>
    <w:p>
      <w:pPr>
        <w:pStyle w:val="ListBullet"/>
      </w:pPr>
      <w:r>
        <w:t>All text, configuration, and behavioral modifications that touch provisions registered in the Constitutional Dependency Graph (CDG).</w:t>
      </w:r>
    </w:p>
    <w:p>
      <w:pPr>
        <w:pStyle w:val="ListBullet"/>
      </w:pPr>
      <w:r>
        <w:t>All changes routed through the Soma Bus constitutional topics, including soma.constitution.* events.</w:t>
      </w:r>
    </w:p>
    <w:p>
      <w:pPr>
        <w:pStyle w:val="ListBullet"/>
      </w:pPr>
      <w:r>
        <w:t>Documentation updates that alter the operative meaning of any constitutional instrument (per the classification standard applied to the CEP-1 v1.1 operational update patch).</w:t>
      </w:r>
    </w:p>
    <w:p>
      <w:pPr>
        <w:spacing w:before="120" w:after="40"/>
      </w:pPr>
      <w:r>
        <w:rPr>
          <w:b/>
          <w:sz w:val="23"/>
        </w:rPr>
        <w:t>1.4 Out of Scope</w:t>
      </w:r>
    </w:p>
    <w:p>
      <w:r>
        <w:rPr>
          <w:b w:val="0"/>
          <w:i w:val="0"/>
        </w:rPr>
        <w:t>CEP-2 does not define constitutional content, does not set ratification thresholds (Article IX GOV-05), and does not govern observability signals (CEP-3). Classification determines the pathway a change enters; it does not evaluate whether the change is desirable, aligned with the Value Framework, or implementable.</w:t>
      </w:r>
    </w:p>
    <w:p>
      <w:pPr>
        <w:spacing w:after="80"/>
      </w:pPr>
      <w:r>
        <w:rPr>
          <w:b/>
          <w:color w:val="1F3A5F"/>
          <w:sz w:val="28"/>
        </w:rPr>
        <w:t>SECTION 2 — FOUNDING PRINCIPLES</w:t>
      </w:r>
    </w:p>
    <w:p>
      <w:pPr>
        <w:spacing w:before="120" w:after="40"/>
      </w:pPr>
      <w:r>
        <w:rPr>
          <w:b/>
          <w:sz w:val="23"/>
        </w:rPr>
        <w:t>2.1 Determinism</w:t>
      </w:r>
    </w:p>
    <w:p>
      <w:r>
        <w:rPr>
          <w:b w:val="0"/>
          <w:i w:val="0"/>
        </w:rPr>
        <w:t>The same change, evaluated by any compliant evaluator applying this instrument, produces the same classification. Determinism is the defining property of the Constitutional Boundary Test. A classification that depends on the identity or judgment of the evaluator is a failed classification.</w:t>
      </w:r>
    </w:p>
    <w:p>
      <w:pPr>
        <w:spacing w:before="120" w:after="40"/>
      </w:pPr>
      <w:r>
        <w:rPr>
          <w:b/>
          <w:sz w:val="23"/>
        </w:rPr>
        <w:t>2.2 Binary Classification</w:t>
      </w:r>
    </w:p>
    <w:p>
      <w:r>
        <w:rPr>
          <w:b w:val="0"/>
          <w:i w:val="0"/>
        </w:rPr>
        <w:t>The instrument admits only two outcomes. There are no partial scores, no weighted criteria, no severity multipliers, and no discretionary judgment calls. One affirmative criterion classifies the change as constitutional. Five negatives classify it as operational.</w:t>
      </w:r>
    </w:p>
    <w:p>
      <w:pPr>
        <w:spacing w:before="120" w:after="40"/>
      </w:pPr>
      <w:r>
        <w:rPr>
          <w:b/>
          <w:sz w:val="23"/>
        </w:rPr>
        <w:t>2.3 Impact Over Intent</w:t>
      </w:r>
    </w:p>
    <w:p>
      <w:r>
        <w:rPr>
          <w:b w:val="0"/>
          <w:i w:val="0"/>
        </w:rPr>
        <w:t>Every criterion references an observable property of the proposed change — what it does to interfaces, authorities, thresholds, the amendment process, or organ structure. Declared purpose, defensive justification, and stated motivation are not inputs to the instrument.</w:t>
      </w:r>
    </w:p>
    <w:p>
      <w:pPr>
        <w:spacing w:before="120" w:after="40"/>
      </w:pPr>
      <w:r>
        <w:rPr>
          <w:b/>
          <w:sz w:val="23"/>
        </w:rPr>
        <w:t>2.4 Evaluator Independence</w:t>
      </w:r>
    </w:p>
    <w:p>
      <w:r>
        <w:rPr>
          <w:b w:val="0"/>
          <w:i w:val="0"/>
        </w:rPr>
        <w:t>Classification is performed by an evaluator independent of the proposing party. The proposing party's assessment of its own proposal's constitutional impact is invalid input and renders any resulting classification void.</w:t>
      </w:r>
    </w:p>
    <w:p>
      <w:pPr>
        <w:spacing w:before="120" w:after="40"/>
      </w:pPr>
      <w:r>
        <w:rPr>
          <w:b/>
          <w:sz w:val="23"/>
        </w:rPr>
        <w:t>2.5 Operative-State Awareness</w:t>
      </w:r>
    </w:p>
    <w:p>
      <w:r>
        <w:rPr>
          <w:b w:val="0"/>
          <w:i w:val="0"/>
        </w:rPr>
        <w:t>Classification is informed by the operative state of the Constitution. A provision that is actively exercised, one that is dormant, and one that is under pressure present different impact surfaces for an otherwise identical change. CEP-3 Provision Application Frequency data is a required input where relevant to criterion application.</w:t>
      </w:r>
    </w:p>
    <w:p>
      <w:pPr>
        <w:spacing w:before="120" w:after="40"/>
      </w:pPr>
      <w:r>
        <w:rPr>
          <w:b/>
          <w:sz w:val="23"/>
        </w:rPr>
        <w:t>2.6 Precedence and Finality</w:t>
      </w:r>
    </w:p>
    <w:p>
      <w:r>
        <w:rPr>
          <w:b w:val="0"/>
          <w:i w:val="0"/>
        </w:rPr>
        <w:t>Classifications are recorded and sealed. Classifications of materially identical changes shall converge. A recorded classification may be revisited only through the reclassification procedure of Section 5.6, never by tacit re-interpretation at the point of execution.</w:t>
      </w:r>
    </w:p>
    <w:p>
      <w:pPr>
        <w:spacing w:after="80"/>
      </w:pPr>
      <w:r>
        <w:rPr>
          <w:b/>
          <w:color w:val="1F3A5F"/>
          <w:sz w:val="28"/>
        </w:rPr>
        <w:t>SECTION 3 — THE FIVE CONSTITUTIONAL IMPACT CRITERIA</w:t>
      </w:r>
    </w:p>
    <w:p>
      <w:r>
        <w:rPr>
          <w:b w:val="0"/>
          <w:i w:val="0"/>
        </w:rPr>
        <w:t>Each criterion is binary-testable: the evaluator applies the test question to the proposed change and records a result of YES or NO with supporting rationale. The criteria are collectively exhaustive of the constitutional surface.</w:t>
      </w:r>
    </w:p>
    <w:tbl>
      <w:tblPr>
        <w:tblStyle w:val="TableGrid"/>
        <w:tblW w:type="auto" w:w="0"/>
        <w:tblLook w:firstColumn="1" w:firstRow="1" w:lastColumn="0" w:lastRow="0" w:noHBand="0" w:noVBand="1" w:val="04A0"/>
      </w:tblPr>
      <w:tblGrid>
        <w:gridCol w:w="2412"/>
        <w:gridCol w:w="2412"/>
        <w:gridCol w:w="2412"/>
        <w:gridCol w:w="2412"/>
      </w:tblGrid>
      <w:tr>
        <w:tc>
          <w:tcPr>
            <w:tcW w:type="dxa" w:w="720"/>
          </w:tcPr>
          <w:p>
            <w:r/>
            <w:r>
              <w:rPr>
                <w:b/>
              </w:rPr>
              <w:t>#</w:t>
            </w:r>
          </w:p>
        </w:tc>
        <w:tc>
          <w:tcPr>
            <w:tcW w:type="dxa" w:w="2016"/>
          </w:tcPr>
          <w:p>
            <w:r/>
            <w:r>
              <w:rPr>
                <w:b/>
              </w:rPr>
              <w:t>Criterion Name</w:t>
            </w:r>
          </w:p>
        </w:tc>
        <w:tc>
          <w:tcPr>
            <w:tcW w:type="dxa" w:w="3888"/>
          </w:tcPr>
          <w:p>
            <w:r/>
            <w:r>
              <w:rPr>
                <w:b/>
              </w:rPr>
              <w:t>Test Question</w:t>
            </w:r>
          </w:p>
        </w:tc>
        <w:tc>
          <w:tcPr>
            <w:tcW w:type="dxa" w:w="2736"/>
          </w:tcPr>
          <w:p>
            <w:r/>
            <w:r>
              <w:rPr>
                <w:b/>
              </w:rPr>
              <w:t>Risk if Misclassified</w:t>
            </w:r>
          </w:p>
        </w:tc>
      </w:tr>
      <w:tr>
        <w:tc>
          <w:tcPr>
            <w:tcW w:type="dxa" w:w="720"/>
          </w:tcPr>
          <w:p>
            <w:r>
              <w:t>C1</w:t>
            </w:r>
          </w:p>
        </w:tc>
        <w:tc>
          <w:tcPr>
            <w:tcW w:type="dxa" w:w="2016"/>
          </w:tcPr>
          <w:p>
            <w:r>
              <w:t>Interface Criterion</w:t>
            </w:r>
          </w:p>
        </w:tc>
        <w:tc>
          <w:tcPr>
            <w:tcW w:type="dxa" w:w="3888"/>
          </w:tcPr>
          <w:p>
            <w:r>
              <w:t>Does the change alter how organs communicate via the Soma Bus?</w:t>
            </w:r>
          </w:p>
        </w:tc>
        <w:tc>
          <w:tcPr>
            <w:tcW w:type="dxa" w:w="2736"/>
          </w:tcPr>
          <w:p>
            <w:r>
              <w:t>Unratified changes to evidence substrate</w:t>
            </w:r>
          </w:p>
        </w:tc>
      </w:tr>
      <w:tr>
        <w:tc>
          <w:tcPr>
            <w:tcW w:type="dxa" w:w="720"/>
          </w:tcPr>
          <w:p>
            <w:r>
              <w:t>C2</w:t>
            </w:r>
          </w:p>
        </w:tc>
        <w:tc>
          <w:tcPr>
            <w:tcW w:type="dxa" w:w="2016"/>
          </w:tcPr>
          <w:p>
            <w:r>
              <w:t>Authority Criterion</w:t>
            </w:r>
          </w:p>
        </w:tc>
        <w:tc>
          <w:tcPr>
            <w:tcW w:type="dxa" w:w="3888"/>
          </w:tcPr>
          <w:p>
            <w:r>
              <w:t>Does it change who may initiate a function or exercise a power?</w:t>
            </w:r>
          </w:p>
        </w:tc>
        <w:tc>
          <w:tcPr>
            <w:tcW w:type="dxa" w:w="2736"/>
          </w:tcPr>
          <w:p>
            <w:r>
              <w:t>Unratified authority redistribution</w:t>
            </w:r>
          </w:p>
        </w:tc>
      </w:tr>
      <w:tr>
        <w:tc>
          <w:tcPr>
            <w:tcW w:type="dxa" w:w="720"/>
          </w:tcPr>
          <w:p>
            <w:r>
              <w:t>C3</w:t>
            </w:r>
          </w:p>
        </w:tc>
        <w:tc>
          <w:tcPr>
            <w:tcW w:type="dxa" w:w="2016"/>
          </w:tcPr>
          <w:p>
            <w:r>
              <w:t>Governance Criterion</w:t>
            </w:r>
          </w:p>
        </w:tc>
        <w:tc>
          <w:tcPr>
            <w:tcW w:type="dxa" w:w="3888"/>
          </w:tcPr>
          <w:p>
            <w:r>
              <w:t>Does it modify a threshold, quorum, or majority requirement?</w:t>
            </w:r>
          </w:p>
        </w:tc>
        <w:tc>
          <w:tcPr>
            <w:tcW w:type="dxa" w:w="2736"/>
          </w:tcPr>
          <w:p>
            <w:r>
              <w:t>Unratified changes to ratification requirements</w:t>
            </w:r>
          </w:p>
        </w:tc>
      </w:tr>
      <w:tr>
        <w:tc>
          <w:tcPr>
            <w:tcW w:type="dxa" w:w="720"/>
          </w:tcPr>
          <w:p>
            <w:r>
              <w:t>C4</w:t>
            </w:r>
          </w:p>
        </w:tc>
        <w:tc>
          <w:tcPr>
            <w:tcW w:type="dxa" w:w="2016"/>
          </w:tcPr>
          <w:p>
            <w:r>
              <w:t>Meta-Constitutional Criterion</w:t>
            </w:r>
          </w:p>
        </w:tc>
        <w:tc>
          <w:tcPr>
            <w:tcW w:type="dxa" w:w="3888"/>
          </w:tcPr>
          <w:p>
            <w:r>
              <w:t>Does it affect the amendment process itself?</w:t>
            </w:r>
          </w:p>
        </w:tc>
        <w:tc>
          <w:tcPr>
            <w:tcW w:type="dxa" w:w="2736"/>
          </w:tcPr>
          <w:p>
            <w:r>
              <w:t>Constitutional self-modification without process</w:t>
            </w:r>
          </w:p>
        </w:tc>
      </w:tr>
      <w:tr>
        <w:tc>
          <w:tcPr>
            <w:tcW w:type="dxa" w:w="720"/>
          </w:tcPr>
          <w:p>
            <w:r>
              <w:t>C5</w:t>
            </w:r>
          </w:p>
        </w:tc>
        <w:tc>
          <w:tcPr>
            <w:tcW w:type="dxa" w:w="2016"/>
          </w:tcPr>
          <w:p>
            <w:r>
              <w:t>Organ Structural Criterion</w:t>
            </w:r>
          </w:p>
        </w:tc>
        <w:tc>
          <w:tcPr>
            <w:tcW w:type="dxa" w:w="3888"/>
          </w:tcPr>
          <w:p>
            <w:r>
              <w:t>Does it alter an organ's existence, scope, or constitutional boundaries?</w:t>
            </w:r>
          </w:p>
        </w:tc>
        <w:tc>
          <w:tcPr>
            <w:tcW w:type="dxa" w:w="2736"/>
          </w:tcPr>
          <w:p>
            <w:r>
              <w:t>Unratified architectural modification</w:t>
            </w:r>
          </w:p>
        </w:tc>
      </w:tr>
    </w:tbl>
    <w:p>
      <w:pPr>
        <w:spacing w:before="120" w:after="40"/>
      </w:pPr>
      <w:r>
        <w:rPr>
          <w:b/>
          <w:sz w:val="23"/>
        </w:rPr>
        <w:t>C1 — Interface Criterion</w:t>
      </w:r>
    </w:p>
    <w:p>
      <w:r>
        <w:rPr>
          <w:b/>
          <w:i w:val="0"/>
        </w:rPr>
        <w:t>Test Question: Does the change alter how organs communicate via the Soma Bus?</w:t>
      </w:r>
    </w:p>
    <w:p>
      <w:r>
        <w:rPr>
          <w:b w:val="0"/>
          <w:i w:val="0"/>
        </w:rPr>
        <w:t>Operationalization: affirmative when the change adds, removes, or modifies a Soma Bus topic, payload schema, retention period, signing requirement, or replay-protection flag; when it changes routing, ordering, or sequence semantics; or when it alters which organs may emit or subscribe to which topics. The Soma Bus is the nervous system and evidence substrate simultaneously; a change to communication is a change to evidence infrastructure.</w:t>
      </w:r>
    </w:p>
    <w:p>
      <w:pPr>
        <w:spacing w:before="120" w:after="40"/>
      </w:pPr>
      <w:r>
        <w:rPr>
          <w:b/>
          <w:sz w:val="23"/>
        </w:rPr>
        <w:t>C2 — Authority Criterion</w:t>
      </w:r>
    </w:p>
    <w:p>
      <w:r>
        <w:rPr>
          <w:b/>
          <w:i w:val="0"/>
        </w:rPr>
        <w:t>Test Question: Does it change who may initiate a function or exercise a power?</w:t>
      </w:r>
    </w:p>
    <w:p>
      <w:r>
        <w:rPr>
          <w:b w:val="0"/>
          <w:i w:val="0"/>
        </w:rPr>
        <w:t>Operationalization: affirmative when the change grants, removes, transfers, or re-scopes any authority; when it changes which principal tier, quorum, or organ may take an action; or when it alters the Decision Authority Matrix.</w:t>
      </w:r>
    </w:p>
    <w:p>
      <w:pPr>
        <w:spacing w:before="120" w:after="40"/>
      </w:pPr>
      <w:r>
        <w:rPr>
          <w:b/>
          <w:sz w:val="23"/>
        </w:rPr>
        <w:t>C3 — Governance Criterion</w:t>
      </w:r>
    </w:p>
    <w:p>
      <w:r>
        <w:rPr>
          <w:b/>
          <w:i w:val="0"/>
        </w:rPr>
        <w:t>Test Question: Does it modify a threshold, quorum, or majority requirement?</w:t>
      </w:r>
    </w:p>
    <w:p>
      <w:r>
        <w:rPr>
          <w:b w:val="0"/>
          <w:i w:val="0"/>
        </w:rPr>
        <w:t>Operationalization: affirmative when the change alters any ratification threshold, abstention policy, quorum definition, principal participation requirement, or consensus mechanism defined in or referenced by Article IX GOV-05.</w:t>
      </w:r>
    </w:p>
    <w:p>
      <w:pPr>
        <w:spacing w:before="120" w:after="40"/>
      </w:pPr>
      <w:r>
        <w:rPr>
          <w:b/>
          <w:sz w:val="23"/>
        </w:rPr>
        <w:t>C4 — Meta-Constitutional Criterion</w:t>
      </w:r>
    </w:p>
    <w:p>
      <w:r>
        <w:rPr>
          <w:b/>
          <w:i w:val="0"/>
        </w:rPr>
        <w:t>Test Question: Does it affect the amendment process itself?</w:t>
      </w:r>
    </w:p>
    <w:p>
      <w:r>
        <w:rPr>
          <w:b w:val="0"/>
          <w:i w:val="0"/>
        </w:rPr>
        <w:t>Operationalization: affirmative when the change touches the CEP-1 pipeline, its stages, gating criteria, or inputs; when it modifies the unamendable invariants of GOV-04; or when it changes how the Constitution is interpreted, sealed, hashed, or archived. C4 protects the pipeline from being used against itself.</w:t>
      </w:r>
    </w:p>
    <w:p>
      <w:pPr>
        <w:spacing w:before="120" w:after="40"/>
      </w:pPr>
      <w:r>
        <w:rPr>
          <w:b/>
          <w:sz w:val="23"/>
        </w:rPr>
        <w:t>C5 — Organ Structural Criterion</w:t>
      </w:r>
    </w:p>
    <w:p>
      <w:r>
        <w:rPr>
          <w:b/>
          <w:i w:val="0"/>
        </w:rPr>
        <w:t>Test Question: Does it alter an organ's existence, scope, or constitutional boundaries?</w:t>
      </w:r>
    </w:p>
    <w:p>
      <w:r>
        <w:rPr>
          <w:b w:val="0"/>
          <w:i w:val="0"/>
        </w:rPr>
        <w:t>Operationalization: affirmative when the change creates or deprecates an organ; changes an organ's constitutional mandate, capability domain, or sovereignty boundary; or alters the layer placement or constitutional status of any node in the 46-Organ Architecture.</w:t>
      </w:r>
    </w:p>
    <w:p>
      <w:pPr>
        <w:spacing w:after="80"/>
      </w:pPr>
      <w:r>
        <w:rPr>
          <w:b/>
          <w:color w:val="1F3A5F"/>
          <w:sz w:val="28"/>
        </w:rPr>
        <w:t>SECTION 4 — THE CONSTITUTIONAL IMPACT MATRIX</w:t>
      </w:r>
    </w:p>
    <w:p>
      <w:pPr>
        <w:spacing w:before="120" w:after="40"/>
      </w:pPr>
      <w:r>
        <w:rPr>
          <w:b/>
          <w:sz w:val="23"/>
        </w:rPr>
        <w:t>4.1 The Instrument</w:t>
      </w:r>
    </w:p>
    <w:p>
      <w:r>
        <w:rPr>
          <w:b w:val="0"/>
          <w:i w:val="0"/>
        </w:rPr>
        <w:t>The Constitutional Impact Matrix operationalizes the five criteria as an evaluation instrument. Each criterion is applied and recorded with a binary result and supporting rationale. The completed Matrix accompanies every change submission.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2016"/>
          </w:tcPr>
          <w:p>
            <w:r/>
            <w:r>
              <w:rPr>
                <w:b/>
              </w:rPr>
              <w:t>Criterion</w:t>
            </w:r>
          </w:p>
        </w:tc>
        <w:tc>
          <w:tcPr>
            <w:tcW w:type="dxa" w:w="2592"/>
          </w:tcPr>
          <w:p>
            <w:r/>
            <w:r>
              <w:rPr>
                <w:b/>
              </w:rPr>
              <w:t>Test Question</w:t>
            </w:r>
          </w:p>
        </w:tc>
        <w:tc>
          <w:tcPr>
            <w:tcW w:type="dxa" w:w="1584"/>
          </w:tcPr>
          <w:p>
            <w:r/>
            <w:r>
              <w:rPr>
                <w:b/>
              </w:rPr>
              <w:t>Result (YES/NO)</w:t>
            </w:r>
          </w:p>
        </w:tc>
        <w:tc>
          <w:tcPr>
            <w:tcW w:type="dxa" w:w="2304"/>
          </w:tcPr>
          <w:p>
            <w:r/>
            <w:r>
              <w:rPr>
                <w:b/>
              </w:rPr>
              <w:t>Supporting Rationale</w:t>
            </w:r>
          </w:p>
        </w:tc>
        <w:tc>
          <w:tcPr>
            <w:tcW w:type="dxa" w:w="1872"/>
          </w:tcPr>
          <w:p>
            <w:r/>
            <w:r>
              <w:rPr>
                <w:b/>
              </w:rPr>
              <w:t>Evidence Reference</w:t>
            </w:r>
          </w:p>
        </w:tc>
      </w:tr>
      <w:tr>
        <w:tc>
          <w:tcPr>
            <w:tcW w:type="dxa" w:w="2016"/>
          </w:tcPr>
          <w:p>
            <w:r>
              <w:t>C1 — Interface</w:t>
            </w:r>
          </w:p>
        </w:tc>
        <w:tc>
          <w:tcPr>
            <w:tcW w:type="dxa" w:w="2592"/>
          </w:tcPr>
          <w:p>
            <w:r>
              <w:t>Alters Soma Bus communication?</w:t>
            </w:r>
          </w:p>
        </w:tc>
        <w:tc>
          <w:tcPr>
            <w:tcW w:type="dxa" w:w="1584"/>
          </w:tcPr>
          <w:p>
            <w:r/>
          </w:p>
        </w:tc>
        <w:tc>
          <w:tcPr>
            <w:tcW w:type="dxa" w:w="2304"/>
          </w:tcPr>
          <w:p>
            <w:r/>
          </w:p>
        </w:tc>
        <w:tc>
          <w:tcPr>
            <w:tcW w:type="dxa" w:w="1872"/>
          </w:tcPr>
          <w:p>
            <w:r/>
          </w:p>
        </w:tc>
      </w:tr>
      <w:tr>
        <w:tc>
          <w:tcPr>
            <w:tcW w:type="dxa" w:w="2016"/>
          </w:tcPr>
          <w:p>
            <w:r>
              <w:t>C2 — Authority</w:t>
            </w:r>
          </w:p>
        </w:tc>
        <w:tc>
          <w:tcPr>
            <w:tcW w:type="dxa" w:w="2592"/>
          </w:tcPr>
          <w:p>
            <w:r>
              <w:t>Changes who may act?</w:t>
            </w:r>
          </w:p>
        </w:tc>
        <w:tc>
          <w:tcPr>
            <w:tcW w:type="dxa" w:w="1584"/>
          </w:tcPr>
          <w:p>
            <w:r/>
          </w:p>
        </w:tc>
        <w:tc>
          <w:tcPr>
            <w:tcW w:type="dxa" w:w="2304"/>
          </w:tcPr>
          <w:p>
            <w:r/>
          </w:p>
        </w:tc>
        <w:tc>
          <w:tcPr>
            <w:tcW w:type="dxa" w:w="1872"/>
          </w:tcPr>
          <w:p>
            <w:r/>
          </w:p>
        </w:tc>
      </w:tr>
      <w:tr>
        <w:tc>
          <w:tcPr>
            <w:tcW w:type="dxa" w:w="2016"/>
          </w:tcPr>
          <w:p>
            <w:r>
              <w:t>C3 — Governance</w:t>
            </w:r>
          </w:p>
        </w:tc>
        <w:tc>
          <w:tcPr>
            <w:tcW w:type="dxa" w:w="2592"/>
          </w:tcPr>
          <w:p>
            <w:r>
              <w:t>Modifies threshold/quorum?</w:t>
            </w:r>
          </w:p>
        </w:tc>
        <w:tc>
          <w:tcPr>
            <w:tcW w:type="dxa" w:w="1584"/>
          </w:tcPr>
          <w:p>
            <w:r/>
          </w:p>
        </w:tc>
        <w:tc>
          <w:tcPr>
            <w:tcW w:type="dxa" w:w="2304"/>
          </w:tcPr>
          <w:p>
            <w:r/>
          </w:p>
        </w:tc>
        <w:tc>
          <w:tcPr>
            <w:tcW w:type="dxa" w:w="1872"/>
          </w:tcPr>
          <w:p>
            <w:r/>
          </w:p>
        </w:tc>
      </w:tr>
      <w:tr>
        <w:tc>
          <w:tcPr>
            <w:tcW w:type="dxa" w:w="2016"/>
          </w:tcPr>
          <w:p>
            <w:r>
              <w:t>C4 — Meta-Constitutional</w:t>
            </w:r>
          </w:p>
        </w:tc>
        <w:tc>
          <w:tcPr>
            <w:tcW w:type="dxa" w:w="2592"/>
          </w:tcPr>
          <w:p>
            <w:r>
              <w:t>Affects the amendment process?</w:t>
            </w:r>
          </w:p>
        </w:tc>
        <w:tc>
          <w:tcPr>
            <w:tcW w:type="dxa" w:w="1584"/>
          </w:tcPr>
          <w:p>
            <w:r/>
          </w:p>
        </w:tc>
        <w:tc>
          <w:tcPr>
            <w:tcW w:type="dxa" w:w="2304"/>
          </w:tcPr>
          <w:p>
            <w:r/>
          </w:p>
        </w:tc>
        <w:tc>
          <w:tcPr>
            <w:tcW w:type="dxa" w:w="1872"/>
          </w:tcPr>
          <w:p>
            <w:r/>
          </w:p>
        </w:tc>
      </w:tr>
      <w:tr>
        <w:tc>
          <w:tcPr>
            <w:tcW w:type="dxa" w:w="2016"/>
          </w:tcPr>
          <w:p>
            <w:r>
              <w:t>C5 — Organ Structural</w:t>
            </w:r>
          </w:p>
        </w:tc>
        <w:tc>
          <w:tcPr>
            <w:tcW w:type="dxa" w:w="2592"/>
          </w:tcPr>
          <w:p>
            <w:r>
              <w:t>Alters organ existence or scope?</w:t>
            </w:r>
          </w:p>
        </w:tc>
        <w:tc>
          <w:tcPr>
            <w:tcW w:type="dxa" w:w="1584"/>
          </w:tcPr>
          <w:p>
            <w:r/>
          </w:p>
        </w:tc>
        <w:tc>
          <w:tcPr>
            <w:tcW w:type="dxa" w:w="2304"/>
          </w:tcPr>
          <w:p>
            <w:r/>
          </w:p>
        </w:tc>
        <w:tc>
          <w:tcPr>
            <w:tcW w:type="dxa" w:w="1872"/>
          </w:tcPr>
          <w:p>
            <w:r/>
          </w:p>
        </w:tc>
      </w:tr>
    </w:tbl>
    <w:p>
      <w:pPr>
        <w:spacing w:before="120" w:after="40"/>
      </w:pPr>
      <w:r>
        <w:rPr>
          <w:b/>
          <w:sz w:val="23"/>
        </w:rPr>
        <w:t>4.2 Completion Requirements</w:t>
      </w:r>
    </w:p>
    <w:p>
      <w:pPr>
        <w:pStyle w:val="ListBullet"/>
      </w:pPr>
      <w:r>
        <w:t>Every proposed change to the constitutional surface carries a completed Matrix; a submission without one is procedurally incomplete.</w:t>
      </w:r>
    </w:p>
    <w:p>
      <w:pPr>
        <w:pStyle w:val="ListBullet"/>
      </w:pPr>
      <w:r>
        <w:t>Each criterion cell records a binary result and a written rationale grounded in the change's observable impact, not its stated purpose.</w:t>
      </w:r>
    </w:p>
    <w:p>
      <w:pPr>
        <w:pStyle w:val="ListBullet"/>
      </w:pPr>
      <w:r>
        <w:t>Each affirmative result references the Soma Bus constitutional topic or CDG node that establishes the impact.</w:t>
      </w:r>
    </w:p>
    <w:p>
      <w:pPr>
        <w:pStyle w:val="ListBullet"/>
      </w:pPr>
      <w:r>
        <w:t>A Matrix containing blank, ambiguous, or conditional cells is rejected before classification proceeds.</w:t>
      </w:r>
    </w:p>
    <w:p>
      <w:pPr>
        <w:spacing w:before="120" w:after="40"/>
      </w:pPr>
      <w:r>
        <w:rPr>
          <w:b/>
          <w:sz w:val="23"/>
        </w:rPr>
        <w:t>4.3 Evaluator Independence Requirement</w:t>
      </w:r>
    </w:p>
    <w:p>
      <w:r>
        <w:rPr>
          <w:b w:val="0"/>
          <w:i w:val="0"/>
        </w:rPr>
        <w:t>The Matrix must be completed by an evaluator independent of the proposing party. Independence is a procedural requirement without which the classification is void. The evaluator records a conflict-of-interest declaration; any relationship that could influence the result is disclosed and disqualifying.</w:t>
      </w:r>
    </w:p>
    <w:p>
      <w:pPr>
        <w:spacing w:before="120" w:after="40"/>
      </w:pPr>
      <w:r>
        <w:rPr>
          <w:b/>
          <w:sz w:val="23"/>
        </w:rPr>
        <w:t>4.4 Classification Rule</w:t>
      </w:r>
    </w:p>
    <w:p>
      <w:r>
        <w:rPr>
          <w:b/>
          <w:i w:val="0"/>
        </w:rPr>
        <w:t>Any single YES result is sufficient to classify the change as constitutional, requiring the full CEP-1 pipeline. All five NO results classify the change as operational, subject only to the operational change process. This is a binary instrument; partial scores do not exist.</w:t>
      </w:r>
    </w:p>
    <w:p>
      <w:pPr>
        <w:spacing w:before="120" w:after="40"/>
      </w:pPr>
      <w:r>
        <w:rPr>
          <w:b/>
          <w:sz w:val="23"/>
        </w:rPr>
        <w:t>4.5 Sign-Off</w:t>
      </w:r>
    </w:p>
    <w:p>
      <w:r>
        <w:rPr>
          <w:b w:val="0"/>
          <w:i w:val="0"/>
        </w:rPr>
        <w:t>The completed Matrix is signed by the independent evaluator and the proposing party, then sealed into the Pattern Ledger via soma.governance.classification_recorded. The sealed classification is the authoritative record of the change's processing pathway.</w:t>
      </w:r>
    </w:p>
    <w:p>
      <w:pPr>
        <w:spacing w:after="80"/>
      </w:pPr>
      <w:r>
        <w:rPr>
          <w:b/>
          <w:color w:val="1F3A5F"/>
          <w:sz w:val="28"/>
        </w:rPr>
        <w:t>SECTION 5 — CLASSIFICATION PROCEDURE</w:t>
      </w:r>
    </w:p>
    <w:p>
      <w:pPr>
        <w:spacing w:before="120" w:after="40"/>
      </w:pPr>
      <w:r>
        <w:rPr>
          <w:b/>
          <w:sz w:val="23"/>
        </w:rPr>
        <w:t>5.1 Submission</w:t>
      </w:r>
    </w:p>
    <w:p>
      <w:r>
        <w:rPr>
          <w:b w:val="0"/>
          <w:i w:val="0"/>
        </w:rPr>
        <w:t>A proposed change enters the procedure as a CBT Application. The application states the change's proposed effect, references the affected provisions by CDG node ID, and names no intent beyond the change's observable scope. The proposing party does not self-classify.</w:t>
      </w:r>
    </w:p>
    <w:p>
      <w:pPr>
        <w:spacing w:before="120" w:after="40"/>
      </w:pPr>
      <w:r>
        <w:rPr>
          <w:b/>
          <w:sz w:val="23"/>
        </w:rPr>
        <w:t>5.2 Assignment of Independent Evaluator</w:t>
      </w:r>
    </w:p>
    <w:p>
      <w:r>
        <w:rPr>
          <w:b w:val="0"/>
          <w:i w:val="0"/>
        </w:rPr>
        <w:t>The classification authority assigns an evaluator independent of the proposing party. Assignment is recorded. No evaluator may classify a proposal to which they are a party, in which they hold an interest, or which modifies an organ they serve.</w:t>
      </w:r>
    </w:p>
    <w:p>
      <w:pPr>
        <w:spacing w:before="120" w:after="40"/>
      </w:pPr>
      <w:r>
        <w:rPr>
          <w:b/>
          <w:sz w:val="23"/>
        </w:rPr>
        <w:t>5.3 Application of the Five Criteria</w:t>
      </w:r>
    </w:p>
    <w:p>
      <w:r>
        <w:rPr>
          <w:b w:val="0"/>
          <w:i w:val="0"/>
        </w:rPr>
        <w:t>The evaluator applies C1 through C5 in sequence, drawing on the change text, the current CDG version, and CEP-3 operative-state data where relevant. Each criterion receives a binary result and rationale.</w:t>
      </w:r>
    </w:p>
    <w:p>
      <w:pPr>
        <w:spacing w:before="120" w:after="40"/>
      </w:pPr>
      <w:r>
        <w:rPr>
          <w:b/>
          <w:sz w:val="23"/>
        </w:rPr>
        <w:t>5.4 Record and Seal</w:t>
      </w:r>
    </w:p>
    <w:p>
      <w:r>
        <w:rPr>
          <w:b w:val="0"/>
          <w:i w:val="0"/>
        </w:rPr>
        <w:t>The completed Matrix, the classification outcome, and the evaluator identity are sealed into the Pattern Ledger. Classifications referencing constitutional provisions must include the applicable CDG node IDs to remain CDG-queryable.</w:t>
      </w:r>
    </w:p>
    <w:p>
      <w:pPr>
        <w:spacing w:before="120" w:after="40"/>
      </w:pPr>
      <w:r>
        <w:rPr>
          <w:b/>
          <w:sz w:val="23"/>
        </w:rPr>
        <w:t>5.5 Notification</w:t>
      </w:r>
    </w:p>
    <w:p>
      <w:r>
        <w:rPr>
          <w:b w:val="0"/>
          <w:i w:val="0"/>
        </w:rPr>
        <w:t>The proposing party is notified of the sealed classification. A constitutional classification notifies the CEP-1 pipeline controller; an operational classification notifies the operational change process.</w:t>
      </w:r>
    </w:p>
    <w:p>
      <w:pPr>
        <w:spacing w:before="120" w:after="40"/>
      </w:pPr>
      <w:r>
        <w:rPr>
          <w:b/>
          <w:sz w:val="23"/>
        </w:rPr>
        <w:t>5.6 Reclassification</w:t>
      </w:r>
    </w:p>
    <w:p>
      <w:r>
        <w:rPr>
          <w:b w:val="0"/>
          <w:i w:val="0"/>
        </w:rPr>
        <w:t>A sealed classification may be revisited only when: (a) new evidence demonstrates the original impact surface was materially incomplete, or (b) the proposed change is modified into a materially different change. Reclassification requires a fresh evaluation by an independent evaluator with the cause recorded. Reclassification is not a mechanism for forum-shopping a sealed outcome.</w:t>
      </w:r>
    </w:p>
    <w:p>
      <w:pPr>
        <w:spacing w:after="80"/>
      </w:pPr>
      <w:r>
        <w:rPr>
          <w:b/>
          <w:color w:val="1F3A5F"/>
          <w:sz w:val="28"/>
        </w:rPr>
        <w:t>SECTION 6 — CLASSIFICATION OUTCOMES AND CONSEQUENCES</w:t>
      </w:r>
    </w:p>
    <w:tbl>
      <w:tblPr>
        <w:tblStyle w:val="TableGrid"/>
        <w:tblW w:type="auto" w:w="0"/>
        <w:tblLook w:firstColumn="1" w:firstRow="1" w:lastColumn="0" w:lastRow="0" w:noHBand="0" w:noVBand="1" w:val="04A0"/>
      </w:tblPr>
      <w:tblGrid>
        <w:gridCol w:w="2412"/>
        <w:gridCol w:w="2412"/>
        <w:gridCol w:w="2412"/>
        <w:gridCol w:w="2412"/>
      </w:tblGrid>
      <w:tr>
        <w:tc>
          <w:tcPr>
            <w:tcW w:type="dxa" w:w="1584"/>
          </w:tcPr>
          <w:p>
            <w:r/>
            <w:r>
              <w:rPr>
                <w:b/>
              </w:rPr>
              <w:t>Outcome</w:t>
            </w:r>
          </w:p>
        </w:tc>
        <w:tc>
          <w:tcPr>
            <w:tcW w:type="dxa" w:w="1584"/>
          </w:tcPr>
          <w:p>
            <w:r/>
            <w:r>
              <w:rPr>
                <w:b/>
              </w:rPr>
              <w:t>Result</w:t>
            </w:r>
          </w:p>
        </w:tc>
        <w:tc>
          <w:tcPr>
            <w:tcW w:type="dxa" w:w="2448"/>
          </w:tcPr>
          <w:p>
            <w:r/>
            <w:r>
              <w:rPr>
                <w:b/>
              </w:rPr>
              <w:t>Pathway</w:t>
            </w:r>
          </w:p>
        </w:tc>
        <w:tc>
          <w:tcPr>
            <w:tcW w:type="dxa" w:w="4032"/>
          </w:tcPr>
          <w:p>
            <w:r/>
            <w:r>
              <w:rPr>
                <w:b/>
              </w:rPr>
              <w:t>Binding Consequence</w:t>
            </w:r>
          </w:p>
        </w:tc>
      </w:tr>
      <w:tr>
        <w:tc>
          <w:tcPr>
            <w:tcW w:type="dxa" w:w="1584"/>
          </w:tcPr>
          <w:p>
            <w:r>
              <w:t>Constitutional</w:t>
            </w:r>
          </w:p>
        </w:tc>
        <w:tc>
          <w:tcPr>
            <w:tcW w:type="dxa" w:w="1584"/>
          </w:tcPr>
          <w:p>
            <w:r>
              <w:t>One or more YES</w:t>
            </w:r>
          </w:p>
        </w:tc>
        <w:tc>
          <w:tcPr>
            <w:tcW w:type="dxa" w:w="2448"/>
          </w:tcPr>
          <w:p>
            <w:r>
              <w:t>Full CEP-1 pipeline</w:t>
            </w:r>
          </w:p>
        </w:tc>
        <w:tc>
          <w:tcPr>
            <w:tcW w:type="dxa" w:w="4032"/>
          </w:tcPr>
          <w:p>
            <w:r>
              <w:t>Mandatory entry at Stage 1; cannot proceed via operational change process</w:t>
            </w:r>
          </w:p>
        </w:tc>
      </w:tr>
      <w:tr>
        <w:tc>
          <w:tcPr>
            <w:tcW w:type="dxa" w:w="1584"/>
          </w:tcPr>
          <w:p>
            <w:r>
              <w:t>Operational</w:t>
            </w:r>
          </w:p>
        </w:tc>
        <w:tc>
          <w:tcPr>
            <w:tcW w:type="dxa" w:w="1584"/>
          </w:tcPr>
          <w:p>
            <w:r>
              <w:t>All five NO</w:t>
            </w:r>
          </w:p>
        </w:tc>
        <w:tc>
          <w:tcPr>
            <w:tcW w:type="dxa" w:w="2448"/>
          </w:tcPr>
          <w:p>
            <w:r>
              <w:t>Standard operational change process</w:t>
            </w:r>
          </w:p>
        </w:tc>
        <w:tc>
          <w:tcPr>
            <w:tcW w:type="dxa" w:w="4032"/>
          </w:tcPr>
          <w:p>
            <w:r>
              <w:t>No CEP-1 requirement; subject to operational change controls and audit</w:t>
            </w:r>
          </w:p>
        </w:tc>
      </w:tr>
    </w:tbl>
    <w:p>
      <w:pPr>
        <w:spacing w:before="120" w:after="40"/>
      </w:pPr>
      <w:r>
        <w:rPr>
          <w:b/>
          <w:sz w:val="23"/>
        </w:rPr>
        <w:t>6.1 Constitutional Classification</w:t>
      </w:r>
    </w:p>
    <w:p>
      <w:r>
        <w:rPr>
          <w:b w:val="0"/>
          <w:i w:val="0"/>
        </w:rPr>
        <w:t>The change enters the CEP-1 pipeline at Stage 1. It may not be executed, deployed, or announced through operational channels. Any such execution is a constitutional violation subject to the violation and escalation provisions of the Constitution.</w:t>
      </w:r>
    </w:p>
    <w:p>
      <w:pPr>
        <w:spacing w:before="120" w:after="40"/>
      </w:pPr>
      <w:r>
        <w:rPr>
          <w:b/>
          <w:sz w:val="23"/>
        </w:rPr>
        <w:t>6.2 Operational Classification</w:t>
      </w:r>
    </w:p>
    <w:p>
      <w:r>
        <w:rPr>
          <w:b w:val="0"/>
          <w:i w:val="0"/>
        </w:rPr>
        <w:t>The change proceeds through the operational change process. Operational classification is a determination about this change's current impact surface; it does not immunize materially different changes, and it does not preclude later constitutional classification if the impact surface changes.</w:t>
      </w:r>
    </w:p>
    <w:p>
      <w:pPr>
        <w:spacing w:before="120" w:after="40"/>
      </w:pPr>
      <w:r>
        <w:rPr>
          <w:b/>
          <w:sz w:val="23"/>
        </w:rPr>
        <w:t>6.3 Primary Principal Override</w:t>
      </w:r>
    </w:p>
    <w:p>
      <w:r>
        <w:rPr>
          <w:b w:val="0"/>
          <w:i w:val="0"/>
        </w:rPr>
        <w:t>A proposal that has not been evaluated by the Constitutional Boundary Test — or that the test has classified as operational — may not enter the CEP-1 pipeline without Primary Principal override. Override is a sovereign act, recorded and sealed, not a procedural shortcut available to proposing parties.</w:t>
      </w:r>
    </w:p>
    <w:p>
      <w:pPr>
        <w:spacing w:before="120" w:after="40"/>
      </w:pPr>
      <w:r>
        <w:rPr>
          <w:b/>
          <w:sz w:val="23"/>
        </w:rPr>
        <w:t>6.4 Classification Audit</w:t>
      </w:r>
    </w:p>
    <w:p>
      <w:r>
        <w:rPr>
          <w:b w:val="0"/>
          <w:i w:val="0"/>
        </w:rPr>
        <w:t>All classifications are subject to CS-12 audit as part of constitutional compliance verification. Systematic divergence in classification outcomes across evaluators is itself a finding, indicating either instrument deficiency (requiring amendment) or evaluator failure (requiring replacement).</w:t>
      </w:r>
    </w:p>
    <w:p>
      <w:pPr>
        <w:spacing w:after="80"/>
      </w:pPr>
      <w:r>
        <w:rPr>
          <w:b/>
          <w:color w:val="1F3A5F"/>
          <w:sz w:val="28"/>
        </w:rPr>
        <w:t>SECTION 7 — IMPLEMENTATION-INDEPENDENCE PRINCIPLE</w:t>
      </w:r>
    </w:p>
    <w:p>
      <w:r>
        <w:rPr>
          <w:b w:val="0"/>
          <w:i w:val="0"/>
        </w:rPr>
        <w:t>All CEP-2 specifications, decision procedures, and conformance criteria are defined in implementation-independent terms. This section is the normative source referenced by CEP-1 §2.6 and applied to EGL-1 verification at CEP-1 Stage 4.</w:t>
      </w:r>
    </w:p>
    <w:p>
      <w:pPr>
        <w:spacing w:before="120" w:after="40"/>
      </w:pPr>
      <w:r>
        <w:rPr>
          <w:b/>
          <w:sz w:val="23"/>
        </w:rPr>
        <w:t>(a) Observable Requirements</w:t>
      </w:r>
    </w:p>
    <w:p>
      <w:r>
        <w:rPr>
          <w:b w:val="0"/>
          <w:i w:val="0"/>
        </w:rPr>
        <w:t>Every requirement in this specification must be expressible as an observable outcome that any compliant implementation can produce and any independent evaluator can verify. Requirements evaluable only by examining internal implementation state do not satisfy this principle and must be respecified.</w:t>
      </w:r>
    </w:p>
    <w:p>
      <w:pPr>
        <w:spacing w:before="120" w:after="40"/>
      </w:pPr>
      <w:r>
        <w:rPr>
          <w:b/>
          <w:sz w:val="23"/>
        </w:rPr>
        <w:t>(b) Portable Conformance Criteria</w:t>
      </w:r>
    </w:p>
    <w:p>
      <w:r>
        <w:rPr>
          <w:b w:val="0"/>
          <w:i w:val="0"/>
        </w:rPr>
        <w:t>Correctness is not defined by conformance to a particular implementation strategy. Any implementation that produces the specified observable outcomes under the specified conditions is conformant. No implementation strategy may be designated as the reference implementation against which others are evaluated.</w:t>
      </w:r>
    </w:p>
    <w:p>
      <w:pPr>
        <w:spacing w:before="120" w:after="40"/>
      </w:pPr>
      <w:r>
        <w:rPr>
          <w:b/>
          <w:sz w:val="23"/>
        </w:rPr>
        <w:t>(c) Implementation-Neutral Language</w:t>
      </w:r>
    </w:p>
    <w:p>
      <w:r>
        <w:rPr>
          <w:b w:val="0"/>
          <w:i w:val="0"/>
        </w:rPr>
        <w:t>This specification avoids language that presupposes a particular runtime architecture, programming language, storage system, or deployment model. Implementation examples are illustrative, not prescriptive.</w:t>
      </w:r>
    </w:p>
    <w:p>
      <w:pPr>
        <w:spacing w:before="120" w:after="40"/>
      </w:pPr>
      <w:r>
        <w:rPr>
          <w:b/>
          <w:sz w:val="23"/>
        </w:rPr>
        <w:t>(d) Cross-Implementation Consistency</w:t>
      </w:r>
    </w:p>
    <w:p>
      <w:r>
        <w:rPr>
          <w:b w:val="0"/>
          <w:i w:val="0"/>
        </w:rPr>
        <w:t>A change classified under CEP-2 and later analyzed under CEP-4, reviewed under CS-11, and verified under CS-12 must produce consistent outcomes regardless of which compliant implementation executes those procedures. Inconsistent outcomes across compliant implementations indicate a specification deficiency to be resolved through the CEP-1 amendment process, not through implementation-level divergence.</w:t>
      </w:r>
    </w:p>
    <w:p>
      <w:pPr>
        <w:spacing w:after="80"/>
      </w:pPr>
      <w:r>
        <w:rPr>
          <w:b/>
          <w:color w:val="1F3A5F"/>
          <w:sz w:val="28"/>
        </w:rPr>
        <w:t>SECTION 8 — RELATIONSHIP TO OTHER SPECIFICATIONS</w:t>
      </w:r>
    </w:p>
    <w:tbl>
      <w:tblPr>
        <w:tblStyle w:val="TableGrid"/>
        <w:tblW w:type="auto" w:w="0"/>
        <w:tblLook w:firstColumn="1" w:firstRow="1" w:lastColumn="0" w:lastRow="0" w:noHBand="0" w:noVBand="1" w:val="04A0"/>
      </w:tblPr>
      <w:tblGrid>
        <w:gridCol w:w="3216"/>
        <w:gridCol w:w="3216"/>
        <w:gridCol w:w="3216"/>
      </w:tblGrid>
      <w:tr>
        <w:tc>
          <w:tcPr>
            <w:tcW w:type="dxa" w:w="1872"/>
          </w:tcPr>
          <w:p>
            <w:r/>
            <w:r>
              <w:rPr>
                <w:b/>
              </w:rPr>
              <w:t>Specification</w:t>
            </w:r>
          </w:p>
        </w:tc>
        <w:tc>
          <w:tcPr>
            <w:tcW w:type="dxa" w:w="4752"/>
          </w:tcPr>
          <w:p>
            <w:r/>
            <w:r>
              <w:rPr>
                <w:b/>
              </w:rPr>
              <w:t>Relationship</w:t>
            </w:r>
          </w:p>
        </w:tc>
        <w:tc>
          <w:tcPr>
            <w:tcW w:type="dxa" w:w="2736"/>
          </w:tcPr>
          <w:p>
            <w:r/>
            <w:r>
              <w:rPr>
                <w:b/>
              </w:rPr>
              <w:t>Direction of Dependency</w:t>
            </w:r>
          </w:p>
        </w:tc>
      </w:tr>
      <w:tr>
        <w:tc>
          <w:tcPr>
            <w:tcW w:type="dxa" w:w="1872"/>
          </w:tcPr>
          <w:p>
            <w:r>
              <w:t>CEP-1</w:t>
            </w:r>
          </w:p>
        </w:tc>
        <w:tc>
          <w:tcPr>
            <w:tcW w:type="dxa" w:w="4752"/>
          </w:tcPr>
          <w:p>
            <w:r>
              <w:t>Classification is the mandatory upstream gate to Stage 1; a change without a CBT evaluation or classified operational may not enter the pipeline without Primary Principal override</w:t>
            </w:r>
          </w:p>
        </w:tc>
        <w:tc>
          <w:tcPr>
            <w:tcW w:type="dxa" w:w="2736"/>
          </w:tcPr>
          <w:p>
            <w:r>
              <w:t>CEP-2 → CEP-1 (gate)</w:t>
            </w:r>
          </w:p>
        </w:tc>
      </w:tr>
      <w:tr>
        <w:tc>
          <w:tcPr>
            <w:tcW w:type="dxa" w:w="1872"/>
          </w:tcPr>
          <w:p>
            <w:r>
              <w:t>CEP-3</w:t>
            </w:r>
          </w:p>
        </w:tc>
        <w:tc>
          <w:tcPr>
            <w:tcW w:type="dxa" w:w="4752"/>
          </w:tcPr>
          <w:p>
            <w:r>
              <w:t>Provision Application Frequency and Interpretive-state data inform criterion application (operative-state awareness)</w:t>
            </w:r>
          </w:p>
        </w:tc>
        <w:tc>
          <w:tcPr>
            <w:tcW w:type="dxa" w:w="2736"/>
          </w:tcPr>
          <w:p>
            <w:r>
              <w:t>CEP-3 → CEP-2 (input)</w:t>
            </w:r>
          </w:p>
        </w:tc>
      </w:tr>
      <w:tr>
        <w:tc>
          <w:tcPr>
            <w:tcW w:type="dxa" w:w="1872"/>
          </w:tcPr>
          <w:p>
            <w:r>
              <w:t>CEP-4</w:t>
            </w:r>
          </w:p>
        </w:tc>
        <w:tc>
          <w:tcPr>
            <w:tcW w:type="dxa" w:w="4752"/>
          </w:tcPr>
          <w:p>
            <w:r>
              <w:t>Confirmed CDG edges inform interpretive weight: where two provisions share a strong bidirectional edge, their interpretation is constitutionally co-dependent and must be conducted jointly under this procedure</w:t>
            </w:r>
          </w:p>
        </w:tc>
        <w:tc>
          <w:tcPr>
            <w:tcW w:type="dxa" w:w="2736"/>
          </w:tcPr>
          <w:p>
            <w:r>
              <w:t>Bidirectional</w:t>
            </w:r>
          </w:p>
        </w:tc>
      </w:tr>
      <w:tr>
        <w:tc>
          <w:tcPr>
            <w:tcW w:type="dxa" w:w="1872"/>
          </w:tcPr>
          <w:p>
            <w:r>
              <w:t>CS-11</w:t>
            </w:r>
          </w:p>
        </w:tc>
        <w:tc>
          <w:tcPr>
            <w:tcW w:type="dxa" w:w="4752"/>
          </w:tcPr>
          <w:p>
            <w:r>
              <w:t>Ethics review applies after classification, to constitutional changes, at CEP-1 Stage 5</w:t>
            </w:r>
          </w:p>
        </w:tc>
        <w:tc>
          <w:tcPr>
            <w:tcW w:type="dxa" w:w="2736"/>
          </w:tcPr>
          <w:p>
            <w:r>
              <w:t>CEP-2 → CS-11 (handoff)</w:t>
            </w:r>
          </w:p>
        </w:tc>
      </w:tr>
      <w:tr>
        <w:tc>
          <w:tcPr>
            <w:tcW w:type="dxa" w:w="1872"/>
          </w:tcPr>
          <w:p>
            <w:r>
              <w:t>CS-12</w:t>
            </w:r>
          </w:p>
        </w:tc>
        <w:tc>
          <w:tcPr>
            <w:tcW w:type="dxa" w:w="4752"/>
          </w:tcPr>
          <w:p>
            <w:r>
              <w:t>Classifications are recorded and audited as evidence of process fidelity</w:t>
            </w:r>
          </w:p>
        </w:tc>
        <w:tc>
          <w:tcPr>
            <w:tcW w:type="dxa" w:w="2736"/>
          </w:tcPr>
          <w:p>
            <w:r>
              <w:t>CS-12 → CEP-2 (verification)</w:t>
            </w:r>
          </w:p>
        </w:tc>
      </w:tr>
      <w:tr>
        <w:tc>
          <w:tcPr>
            <w:tcW w:type="dxa" w:w="1872"/>
          </w:tcPr>
          <w:p>
            <w:r>
              <w:t>CDG Seed File</w:t>
            </w:r>
          </w:p>
        </w:tc>
        <w:tc>
          <w:tcPr>
            <w:tcW w:type="dxa" w:w="4752"/>
          </w:tcPr>
          <w:p>
            <w:r>
              <w:t>Classification records reference CDG node IDs for graph-queryable audit trails</w:t>
            </w:r>
          </w:p>
        </w:tc>
        <w:tc>
          <w:tcPr>
            <w:tcW w:type="dxa" w:w="2736"/>
          </w:tcPr>
          <w:p>
            <w:r>
              <w:t>Bidirectional</w:t>
            </w:r>
          </w:p>
        </w:tc>
      </w:tr>
    </w:tbl>
    <w:p>
      <w:pPr>
        <w:spacing w:after="80"/>
      </w:pPr>
      <w:r>
        <w:rPr>
          <w:b/>
          <w:color w:val="1F3A5F"/>
          <w:sz w:val="28"/>
        </w:rPr>
        <w:t>SECTION 9 — OPEN QUESTIONS</w:t>
      </w:r>
    </w:p>
    <w:p>
      <w:pPr>
        <w:pStyle w:val="ListBullet"/>
      </w:pPr>
      <w:r>
        <w:t>Whether operative-state data (CEP-3) may ever override the text of a criterion — e.g., a provision never exercised, yet the Interface Criterion is met.</w:t>
      </w:r>
    </w:p>
    <w:p>
      <w:pPr>
        <w:pStyle w:val="ListBullet"/>
      </w:pPr>
      <w:r>
        <w:t>Whether repeated operational classifications that cumulatively approximate constitutional change should trigger mandatory re-review under CS-12 Tier 3.</w:t>
      </w:r>
    </w:p>
    <w:p>
      <w:pPr>
        <w:pStyle w:val="ListBullet"/>
      </w:pPr>
      <w:r>
        <w:t>Whether a precedent registry of sealed classifications should be binding on future evaluators, and what override process (if any) exists for divergent outcomes.</w:t>
      </w:r>
    </w:p>
    <w:p>
      <w:pPr>
        <w:pStyle w:val="ListBullet"/>
      </w:pPr>
      <w:r>
        <w:t>Under what conditions the Primary Principal may invoke §6.3 override, and what audit triggers the invocation must carry.</w:t>
      </w:r>
    </w:p>
    <w:p>
      <w:pPr>
        <w:spacing w:before="280"/>
      </w:pPr>
      <w:r>
        <w:rPr>
          <w:i/>
          <w:sz w:val="16"/>
        </w:rPr>
        <w:t>Constitutional Engineering Framework  |  CEP-2  |  Draft v1.0  |  July 4, 2026</w:t>
      </w:r>
    </w:p>
    <w:p>
      <w:pPr>
        <w:spacing w:before="280"/>
      </w:pPr>
      <w:r>
        <w:rPr>
          <w:i/>
          <w:sz w:val="16"/>
        </w:rPr>
        <w:t>This document is subject to the CEP-1 amendment process. All provisions herein are draft until ratification. Author: jon (Primary Principal, AI Organism)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