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B5797" w:sz="6"/>
        </w:pBdr>
        <w:spacing w:after="240" w:before="240"/>
      </w:pPr>
    </w:p>
    <w:p>
      <w:pPr>
        <w:spacing w:after="120" w:before="60" w:line="360" w:lineRule="auto"/>
      </w:pPr>
      <w:r>
        <w:rPr>
          <w:rFonts w:ascii="Calibri" w:cs="Calibri" w:eastAsia="Calibri" w:hAnsi="Calibri"/>
          <w:b/>
          <w:bCs/>
          <w:i w:val="false"/>
          <w:iCs w:val="false"/>
          <w:strike w:val="false"/>
          <w:color w:val="2B5797"/>
          <w:sz w:val="22"/>
          <w:szCs w:val="22"/>
        </w:rPr>
        <w:t xml:space="preserve">CONSTITUTIONAL ENGINEERING PROPOSAL</w:t>
      </w:r>
    </w:p>
    <w:p>
      <w:pPr>
        <w:pStyle w:val="Heading1"/>
        <w:spacing w:after="80" w:before="160" w:line="312" w:lineRule="auto"/>
      </w:pPr>
      <w:r>
        <w:rPr>
          <w:rFonts w:ascii="Calibri" w:cs="Calibri" w:eastAsia="Calibri" w:hAnsi="Calibri"/>
          <w:color w:val="2B5797"/>
          <w:spacing w:val="10"/>
          <w:sz w:val="44"/>
          <w:szCs w:val="44"/>
        </w:rPr>
        <w:t xml:space="preserve">CEP-3: Constitutional Observability Protocol</w:t>
      </w:r>
    </w:p>
    <w:p>
      <w:pPr>
        <w:spacing w:after="120" w:before="60" w:line="360" w:lineRule="auto"/>
      </w:pPr>
      <w:r>
        <w:rPr>
          <w:rFonts w:ascii="Calibri" w:cs="Calibri" w:eastAsia="Calibri" w:hAnsi="Calibri"/>
          <w:b w:val="false"/>
          <w:bCs w:val="false"/>
          <w:i/>
          <w:iCs/>
          <w:strike w:val="false"/>
          <w:color w:val="000000"/>
          <w:sz w:val="22"/>
          <w:szCs w:val="22"/>
        </w:rPr>
        <w:t xml:space="preserve">Specification for the Observability of the Constitution as a Living Instrument</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50%"/>
            <w:shd w:fill="FFFFFF" w:color="auto" w:val="clear"/>
            <w:tcMar>
              <w:top w:type="dxa" w:w="90"/>
              <w:left w:type="dxa" w:w="120"/>
              <w:bottom w:type="dxa" w:w="90"/>
              <w:right w:type="dxa" w:w="120"/>
            </w:tcMar>
          </w:tcPr>
          <w:p>
            <w:r>
              <w:rPr>
                <w:rFonts w:ascii="Calibri" w:cs="Calibri" w:eastAsia="Calibri" w:hAnsi="Calibri"/>
                <w:b/>
                <w:bCs/>
                <w:i w:val="false"/>
                <w:iCs w:val="false"/>
                <w:strike w:val="false"/>
                <w:color w:val="2B5797"/>
                <w:sz w:val="20"/>
                <w:szCs w:val="20"/>
              </w:rPr>
              <w:t xml:space="preserve">CEP Number:</w:t>
            </w:r>
          </w:p>
        </w:tc>
        <w:tc>
          <w:tcPr>
            <w:tcW w:type="pct" w:w="50%"/>
            <w:shd w:fill="FFFFFF" w:color="auto" w:val="clear"/>
            <w:tcMar>
              <w:top w:type="dxa" w:w="90"/>
              <w:left w:type="dxa" w:w="120"/>
              <w:bottom w:type="dxa" w:w="90"/>
              <w:right w:type="dxa" w:w="120"/>
            </w:tcMar>
          </w:tcPr>
          <w:p>
            <w:r>
              <w:rPr>
                <w:rFonts w:ascii="Calibri" w:cs="Calibri" w:eastAsia="Calibri" w:hAnsi="Calibri"/>
                <w:b/>
                <w:bCs/>
                <w:i w:val="false"/>
                <w:iCs w:val="false"/>
                <w:strike w:val="false"/>
                <w:color w:val="2B5797"/>
                <w:sz w:val="20"/>
                <w:szCs w:val="20"/>
              </w:rPr>
              <w:t xml:space="preserve">CEP-3</w:t>
            </w:r>
          </w:p>
        </w:tc>
      </w:tr>
      <w:tr>
        <w:trPr>
          <w:tblHeader w:val="false"/>
        </w:trPr>
        <w:tc>
          <w:tcPr>
            <w:tcW w:type="pct" w:w="50%"/>
            <w:shd w:fill="FFFFFF" w:color="auto" w:val="clear"/>
            <w:tcMar>
              <w:top w:type="dxa" w:w="90"/>
              <w:left w:type="dxa" w:w="120"/>
              <w:bottom w:type="dxa" w:w="90"/>
              <w:right w:type="dxa" w:w="120"/>
            </w:tcMar>
          </w:tcPr>
          <w:p>
            <w:r>
              <w:rPr>
                <w:rFonts w:ascii="Calibri" w:cs="Calibri" w:eastAsia="Calibri" w:hAnsi="Calibri"/>
                <w:b/>
                <w:bCs/>
                <w:i w:val="false"/>
                <w:iCs w:val="false"/>
                <w:strike w:val="false"/>
                <w:color w:val="2B5797"/>
                <w:sz w:val="20"/>
                <w:szCs w:val="20"/>
              </w:rPr>
              <w:t xml:space="preserve">Title:</w:t>
            </w:r>
          </w:p>
        </w:tc>
        <w:tc>
          <w:tcPr>
            <w:tcW w:type="pct" w:w="50%"/>
            <w:shd w:fill="FFFFFF" w:color="auto" w:val="clear"/>
            <w:tcMar>
              <w:top w:type="dxa" w:w="90"/>
              <w:left w:type="dxa" w:w="120"/>
              <w:bottom w:type="dxa" w:w="90"/>
              <w:right w:type="dxa" w:w="120"/>
            </w:tcMar>
          </w:tcPr>
          <w:p>
            <w:r>
              <w:rPr>
                <w:rFonts w:ascii="Calibri" w:cs="Calibri" w:eastAsia="Calibri" w:hAnsi="Calibri"/>
                <w:b/>
                <w:bCs/>
                <w:i w:val="false"/>
                <w:iCs w:val="false"/>
                <w:strike w:val="false"/>
                <w:color w:val="2B5797"/>
                <w:sz w:val="20"/>
                <w:szCs w:val="20"/>
              </w:rPr>
              <w:t xml:space="preserve">Constitutional Observability Protocol</w:t>
            </w:r>
          </w:p>
        </w:tc>
      </w:tr>
      <w:tr>
        <w:trPr>
          <w:tblHeader w:val="false"/>
        </w:trPr>
        <w:tc>
          <w:tcPr>
            <w:tcW w:type="pct" w:w="50%"/>
            <w:shd w:fill="FFFFFF" w:color="auto" w:val="clear"/>
            <w:tcMar>
              <w:top w:type="dxa" w:w="90"/>
              <w:left w:type="dxa" w:w="120"/>
              <w:bottom w:type="dxa" w:w="90"/>
              <w:right w:type="dxa" w:w="120"/>
            </w:tcMar>
          </w:tcPr>
          <w:p>
            <w:r>
              <w:rPr>
                <w:rFonts w:ascii="Calibri" w:cs="Calibri" w:eastAsia="Calibri" w:hAnsi="Calibri"/>
                <w:b/>
                <w:bCs/>
                <w:i w:val="false"/>
                <w:iCs w:val="false"/>
                <w:strike w:val="false"/>
                <w:color w:val="2B5797"/>
                <w:sz w:val="20"/>
                <w:szCs w:val="20"/>
              </w:rPr>
              <w:t xml:space="preserve">Status:</w:t>
            </w:r>
          </w:p>
        </w:tc>
        <w:tc>
          <w:tcPr>
            <w:tcW w:type="pct" w:w="50%"/>
            <w:shd w:fill="FFFFFF" w:color="auto" w:val="clear"/>
            <w:tcMar>
              <w:top w:type="dxa" w:w="90"/>
              <w:left w:type="dxa" w:w="120"/>
              <w:bottom w:type="dxa" w:w="90"/>
              <w:right w:type="dxa" w:w="120"/>
            </w:tcMar>
          </w:tcPr>
          <w:p>
            <w:r>
              <w:rPr>
                <w:rFonts w:ascii="Calibri" w:cs="Calibri" w:eastAsia="Calibri" w:hAnsi="Calibri"/>
                <w:b/>
                <w:bCs/>
                <w:i w:val="false"/>
                <w:iCs w:val="false"/>
                <w:strike w:val="false"/>
                <w:color w:val="CC7A00"/>
                <w:sz w:val="20"/>
                <w:szCs w:val="20"/>
              </w:rPr>
              <w:t xml:space="preserve">Draft</w:t>
            </w:r>
          </w:p>
        </w:tc>
      </w:tr>
      <w:tr>
        <w:trPr>
          <w:tblHeader w:val="false"/>
        </w:trPr>
        <w:tc>
          <w:tcPr>
            <w:tcW w:type="pct" w:w="50%"/>
            <w:shd w:fill="FFFFFF" w:color="auto" w:val="clear"/>
            <w:tcMar>
              <w:top w:type="dxa" w:w="90"/>
              <w:left w:type="dxa" w:w="120"/>
              <w:bottom w:type="dxa" w:w="90"/>
              <w:right w:type="dxa" w:w="120"/>
            </w:tcMar>
          </w:tcPr>
          <w:p>
            <w:r>
              <w:rPr>
                <w:rFonts w:ascii="Calibri" w:cs="Calibri" w:eastAsia="Calibri" w:hAnsi="Calibri"/>
                <w:b/>
                <w:bCs/>
                <w:i w:val="false"/>
                <w:iCs w:val="false"/>
                <w:strike w:val="false"/>
                <w:color w:val="2B5797"/>
                <w:sz w:val="20"/>
                <w:szCs w:val="20"/>
              </w:rPr>
              <w:t xml:space="preserve">Version:</w:t>
            </w:r>
          </w:p>
        </w:tc>
        <w:tc>
          <w:tcPr>
            <w:tcW w:type="pct" w:w="50%"/>
            <w:shd w:fill="FFFFFF" w:color="auto" w:val="clear"/>
            <w:tcMar>
              <w:top w:type="dxa" w:w="90"/>
              <w:left w:type="dxa" w:w="120"/>
              <w:bottom w:type="dxa" w:w="90"/>
              <w:right w:type="dxa" w:w="120"/>
            </w:tcMar>
          </w:tcPr>
          <w:p>
            <w:r>
              <w:rPr>
                <w:rFonts w:ascii="Calibri" w:cs="Calibri" w:eastAsia="Calibri" w:hAnsi="Calibri"/>
                <w:b/>
                <w:bCs/>
                <w:i w:val="false"/>
                <w:iCs w:val="false"/>
                <w:strike w:val="false"/>
                <w:color w:val="2B5797"/>
                <w:sz w:val="20"/>
                <w:szCs w:val="20"/>
              </w:rPr>
              <w:t xml:space="preserve">1.0</w:t>
            </w:r>
          </w:p>
        </w:tc>
      </w:tr>
      <w:tr>
        <w:trPr>
          <w:tblHeader w:val="false"/>
        </w:trPr>
        <w:tc>
          <w:tcPr>
            <w:tcW w:type="pct" w:w="50%"/>
            <w:shd w:fill="FFFFFF" w:color="auto" w:val="clear"/>
            <w:tcMar>
              <w:top w:type="dxa" w:w="90"/>
              <w:left w:type="dxa" w:w="120"/>
              <w:bottom w:type="dxa" w:w="90"/>
              <w:right w:type="dxa" w:w="120"/>
            </w:tcMar>
          </w:tcPr>
          <w:p>
            <w:r>
              <w:rPr>
                <w:rFonts w:ascii="Calibri" w:cs="Calibri" w:eastAsia="Calibri" w:hAnsi="Calibri"/>
                <w:b/>
                <w:bCs/>
                <w:i w:val="false"/>
                <w:iCs w:val="false"/>
                <w:strike w:val="false"/>
                <w:color w:val="2B5797"/>
                <w:sz w:val="20"/>
                <w:szCs w:val="20"/>
              </w:rPr>
              <w:t xml:space="preserve">Date:</w:t>
            </w:r>
          </w:p>
        </w:tc>
        <w:tc>
          <w:tcPr>
            <w:tcW w:type="pct" w:w="50%"/>
            <w:shd w:fill="FFFFFF" w:color="auto" w:val="clear"/>
            <w:tcMar>
              <w:top w:type="dxa" w:w="90"/>
              <w:left w:type="dxa" w:w="120"/>
              <w:bottom w:type="dxa" w:w="90"/>
              <w:right w:type="dxa" w:w="120"/>
            </w:tcMar>
          </w:tcPr>
          <w:p>
            <w:r>
              <w:rPr>
                <w:rFonts w:ascii="Calibri" w:cs="Calibri" w:eastAsia="Calibri" w:hAnsi="Calibri"/>
                <w:b/>
                <w:bCs/>
                <w:i w:val="false"/>
                <w:iCs w:val="false"/>
                <w:strike w:val="false"/>
                <w:color w:val="2B5797"/>
                <w:sz w:val="20"/>
                <w:szCs w:val="20"/>
              </w:rPr>
              <w:t xml:space="preserve">July 4, 2026</w:t>
            </w:r>
          </w:p>
        </w:tc>
      </w:tr>
      <w:tr>
        <w:trPr>
          <w:tblHeader w:val="false"/>
        </w:trPr>
        <w:tc>
          <w:tcPr>
            <w:tcW w:type="pct" w:w="50%"/>
            <w:shd w:fill="FFFFFF" w:color="auto" w:val="clear"/>
            <w:tcMar>
              <w:top w:type="dxa" w:w="90"/>
              <w:left w:type="dxa" w:w="120"/>
              <w:bottom w:type="dxa" w:w="90"/>
              <w:right w:type="dxa" w:w="120"/>
            </w:tcMar>
          </w:tcPr>
          <w:p>
            <w:r>
              <w:rPr>
                <w:rFonts w:ascii="Calibri" w:cs="Calibri" w:eastAsia="Calibri" w:hAnsi="Calibri"/>
                <w:b/>
                <w:bCs/>
                <w:i w:val="false"/>
                <w:iCs w:val="false"/>
                <w:strike w:val="false"/>
                <w:color w:val="2B5797"/>
                <w:sz w:val="20"/>
                <w:szCs w:val="20"/>
              </w:rPr>
              <w:t xml:space="preserve">Relates To:</w:t>
            </w:r>
          </w:p>
        </w:tc>
        <w:tc>
          <w:tcPr>
            <w:tcW w:type="pct" w:w="50%"/>
            <w:shd w:fill="FFFFFF" w:color="auto" w:val="clear"/>
            <w:tcMar>
              <w:top w:type="dxa" w:w="90"/>
              <w:left w:type="dxa" w:w="120"/>
              <w:bottom w:type="dxa" w:w="90"/>
              <w:right w:type="dxa" w:w="120"/>
            </w:tcMar>
          </w:tcPr>
          <w:p>
            <w:r>
              <w:rPr>
                <w:rFonts w:ascii="Calibri" w:cs="Calibri" w:eastAsia="Calibri" w:hAnsi="Calibri"/>
                <w:b/>
                <w:bCs/>
                <w:i w:val="false"/>
                <w:iCs w:val="false"/>
                <w:strike w:val="false"/>
                <w:color w:val="2B5797"/>
                <w:sz w:val="20"/>
                <w:szCs w:val="20"/>
              </w:rPr>
              <w:t xml:space="preserve">CEP-1, CEP-2, CEP-4, CS-11, CS-12</w:t>
            </w:r>
          </w:p>
        </w:tc>
      </w:tr>
    </w:tbl>
    <w:p>
      <w:pPr>
        <w:spacing w:after="200" w:before="0"/>
      </w:pPr>
    </w:p>
    <w:p>
      <w:pPr>
        <w:pBdr>
          <w:bottom w:val="single" w:color="2B5797"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0F5FB" w:color="auto" w:val="clear"/>
            <w:tcMar>
              <w:top w:type="dxa" w:w="200"/>
              <w:left w:type="dxa" w:w="280"/>
              <w:bottom w:type="dxa" w:w="200"/>
              <w:right w:type="dxa" w:w="280"/>
            </w:tcMar>
          </w:tcPr>
          <w:p>
            <w:pPr>
              <w:spacing w:after="0" w:line="360" w:lineRule="auto"/>
            </w:pPr>
            <w:r>
              <w:rPr>
                <w:rFonts w:ascii="Calibri" w:cs="Calibri" w:eastAsia="Calibri" w:hAnsi="Calibri"/>
                <w:b/>
                <w:bCs/>
                <w:i w:val="false"/>
                <w:iCs w:val="false"/>
                <w:strike w:val="false"/>
                <w:color w:val="1A1A1A"/>
                <w:spacing w:val="20"/>
                <w:sz w:val="22"/>
                <w:szCs w:val="22"/>
              </w:rPr>
              <w:t xml:space="preserve">Abstract</w:t>
            </w:r>
          </w:p>
          <w:p>
            <w:pPr>
              <w:spacing w:after="0" w:line="360" w:lineRule="auto"/>
            </w:pPr>
            <w:r>
              <w:rPr>
                <w:rFonts w:ascii="Calibri" w:cs="Calibri" w:eastAsia="Calibri" w:hAnsi="Calibri"/>
                <w:b w:val="false"/>
                <w:bCs w:val="false"/>
                <w:i w:val="false"/>
                <w:iCs w:val="false"/>
                <w:strike w:val="false"/>
                <w:color w:val="1A1A1A"/>
                <w:sz w:val="22"/>
                <w:szCs w:val="22"/>
              </w:rPr>
              <w:t xml:space="preserve">CEP-3 defines the observability requirements for the Constitution itself. While constitutional systems govern organs, the Constitution as a living instrument must itself be observable — its health, its drift, its provision lifecycle, and the patterns of change proposals it receives over time. Governance without constitutional observability is governance without a mirror. CEP-3 provides that mirror.</w:t>
            </w:r>
          </w:p>
        </w:tc>
      </w:tr>
    </w:tbl>
    <w:p>
      <w:pPr>
        <w:spacing w:after="240" w:before="0"/>
      </w:pPr>
    </w:p>
    <w:p>
      <w:pPr>
        <w:pBdr>
          <w:bottom w:val="single" w:color="000000" w:sz="6"/>
        </w:pBdr>
        <w:spacing w:after="240" w:before="240"/>
      </w:pPr>
    </w:p>
    <w:p>
      <w:pPr>
        <w:spacing w:after="60" w:before="360" w:line="360" w:lineRule="auto"/>
      </w:pPr>
      <w:r>
        <w:rPr>
          <w:rFonts w:ascii="Calibri" w:cs="Calibri" w:eastAsia="Calibri" w:hAnsi="Calibri"/>
          <w:b/>
          <w:bCs/>
          <w:i w:val="false"/>
          <w:iCs w:val="false"/>
          <w:strike w:val="false"/>
          <w:color w:val="2B5797"/>
          <w:spacing w:val="20"/>
          <w:sz w:val="18"/>
          <w:szCs w:val="18"/>
        </w:rPr>
        <w:t xml:space="preserve">SECTION 1</w:t>
      </w:r>
    </w:p>
    <w:p>
      <w:pPr>
        <w:pStyle w:val="Heading2"/>
        <w:spacing w:after="120" w:before="360" w:line="312" w:lineRule="auto"/>
      </w:pPr>
      <w:r>
        <w:rPr>
          <w:rFonts w:ascii="Calibri" w:cs="Calibri" w:eastAsia="Calibri" w:hAnsi="Calibri"/>
          <w:color w:val="1A1A1A"/>
          <w:sz w:val="30"/>
          <w:szCs w:val="30"/>
        </w:rPr>
        <w:t xml:space="preserve">Purpose and Scope</w:t>
      </w:r>
    </w:p>
    <w:p>
      <w:pPr>
        <w:pStyle w:val="Heading3"/>
        <w:spacing w:after="80" w:before="240" w:line="312" w:lineRule="auto"/>
      </w:pPr>
      <w:r>
        <w:rPr>
          <w:rFonts w:ascii="Calibri" w:cs="Calibri" w:eastAsia="Calibri" w:hAnsi="Calibri"/>
          <w:color w:val="1A1A1A"/>
          <w:sz w:val="24"/>
          <w:szCs w:val="24"/>
        </w:rPr>
        <w:t xml:space="preserve">1.1 The Observability Gap</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Every organ in the Governed AI Organism emits health signals via the Soma Bus. The Constitutional Health Status (CHS) provides real-time observability of organ and system behavior. But the Constitution itself — the supreme governing instrument — has no equivalent observability layer. CEP-3 fills that gap.</w:t>
      </w:r>
    </w:p>
    <w:p>
      <w:pPr>
        <w:pStyle w:val="Heading3"/>
        <w:spacing w:after="80" w:before="240" w:line="312" w:lineRule="auto"/>
      </w:pPr>
      <w:r>
        <w:rPr>
          <w:rFonts w:ascii="Calibri" w:cs="Calibri" w:eastAsia="Calibri" w:hAnsi="Calibri"/>
          <w:color w:val="1A1A1A"/>
          <w:sz w:val="24"/>
          <w:szCs w:val="24"/>
        </w:rPr>
        <w:t xml:space="preserve">1.2 What Constitutional Observability Means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Constitutional observability is the capacity to answer, at any moment, the following questions from evidence rather than assertion: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Is the Constitution being applied as written?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Which provisions are under active pressure for amendment?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Which provisions have never been exercised?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Is the amendment pipeline healthy and operating within its specified parameters?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Is constitutional interpretation drifting from original ratification intent?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What is the lifecycle status of every provision?</w:t>
      </w:r>
    </w:p>
    <w:p>
      <w:pPr>
        <w:pStyle w:val="Heading3"/>
        <w:spacing w:after="80" w:before="240" w:line="312" w:lineRule="auto"/>
      </w:pPr>
      <w:r>
        <w:rPr>
          <w:rFonts w:ascii="Calibri" w:cs="Calibri" w:eastAsia="Calibri" w:hAnsi="Calibri"/>
          <w:color w:val="1A1A1A"/>
          <w:sz w:val="24"/>
          <w:szCs w:val="24"/>
        </w:rPr>
        <w:t xml:space="preserve">1.3 Scope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CEP-3 applies to:</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Constitution document itself (Organ 03)</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CEP-1 amendment pipeline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All 46 organs whose behavior constitutes evidence of constitutional application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Constitutional Health Status system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EF4FB" w:color="auto" w:val="clear"/>
            <w:tcMar>
              <w:top w:type="dxa" w:w="150"/>
              <w:left w:type="dxa" w:w="210"/>
              <w:bottom w:type="dxa" w:w="150"/>
              <w:right w:type="dxa" w:w="210"/>
            </w:tcMar>
          </w:tcPr>
          <w:p>
            <w:pPr>
              <w:spacing w:after="80" w:line="360" w:lineRule="auto"/>
            </w:pPr>
            <w:r>
              <w:rPr>
                <w:rFonts w:ascii="Calibri" w:cs="Calibri" w:eastAsia="Calibri" w:hAnsi="Calibri"/>
                <w:b/>
                <w:bCs/>
                <w:i w:val="false"/>
                <w:iCs w:val="false"/>
                <w:strike w:val="false"/>
                <w:color w:val="2B5797"/>
                <w:spacing w:val="10"/>
                <w:sz w:val="18"/>
                <w:szCs w:val="18"/>
              </w:rPr>
              <w:t xml:space="preserve">Scope Boundary</w:t>
            </w:r>
          </w:p>
          <w:p>
            <w:pPr>
              <w:spacing w:after="0" w:line="360" w:lineRule="auto"/>
            </w:pPr>
            <w:r>
              <w:rPr>
                <w:rFonts w:ascii="Calibri" w:cs="Calibri" w:eastAsia="Calibri" w:hAnsi="Calibri"/>
                <w:b w:val="false"/>
                <w:bCs w:val="false"/>
                <w:i w:val="false"/>
                <w:iCs w:val="false"/>
                <w:strike w:val="false"/>
                <w:color w:val="000000"/>
                <w:sz w:val="22"/>
                <w:szCs w:val="22"/>
              </w:rPr>
              <w:t xml:space="preserve">CEP-3 does not govern organ behavior — it governs observability of the Constitution as a living instrument.</w:t>
            </w:r>
          </w:p>
        </w:tc>
      </w:tr>
    </w:tbl>
    <w:p>
      <w:pPr>
        <w:spacing w:after="240" w:before="0"/>
      </w:pPr>
    </w:p>
    <w:p>
      <w:pPr>
        <w:pBdr>
          <w:bottom w:val="single" w:color="000000" w:sz="6"/>
        </w:pBdr>
        <w:spacing w:after="240" w:before="240"/>
      </w:pPr>
    </w:p>
    <w:p>
      <w:pPr>
        <w:spacing w:after="60" w:before="360" w:line="360" w:lineRule="auto"/>
      </w:pPr>
      <w:r>
        <w:rPr>
          <w:rFonts w:ascii="Calibri" w:cs="Calibri" w:eastAsia="Calibri" w:hAnsi="Calibri"/>
          <w:b/>
          <w:bCs/>
          <w:i w:val="false"/>
          <w:iCs w:val="false"/>
          <w:strike w:val="false"/>
          <w:color w:val="2B5797"/>
          <w:spacing w:val="20"/>
          <w:sz w:val="18"/>
          <w:szCs w:val="18"/>
        </w:rPr>
        <w:t xml:space="preserve">SECTION 2</w:t>
      </w:r>
    </w:p>
    <w:p>
      <w:pPr>
        <w:pStyle w:val="Heading2"/>
        <w:spacing w:after="120" w:before="360" w:line="312" w:lineRule="auto"/>
      </w:pPr>
      <w:r>
        <w:rPr>
          <w:rFonts w:ascii="Calibri" w:cs="Calibri" w:eastAsia="Calibri" w:hAnsi="Calibri"/>
          <w:color w:val="1A1A1A"/>
          <w:sz w:val="30"/>
          <w:szCs w:val="30"/>
        </w:rPr>
        <w:t xml:space="preserve">Founding Principles</w:t>
      </w:r>
    </w:p>
    <w:p>
      <w:pPr>
        <w:pStyle w:val="Heading3"/>
        <w:spacing w:after="80" w:before="240" w:line="312" w:lineRule="auto"/>
      </w:pPr>
      <w:r>
        <w:rPr>
          <w:rFonts w:ascii="Calibri" w:cs="Calibri" w:eastAsia="Calibri" w:hAnsi="Calibri"/>
          <w:color w:val="1A1A1A"/>
          <w:sz w:val="24"/>
          <w:szCs w:val="24"/>
        </w:rPr>
        <w:t xml:space="preserve">2.1 The Constitution Must Be Self-Observable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constitution that cannot observe its own application cannot detect its own decay. Constitutional observability is not optional instrumentation — it is a constitutional integrity requirement.</w:t>
      </w:r>
    </w:p>
    <w:p>
      <w:pPr>
        <w:pBdr>
          <w:bottom w:val="single" w:color="D6E4F0" w:sz="6"/>
        </w:pBdr>
        <w:spacing w:after="240" w:before="240"/>
      </w:pPr>
    </w:p>
    <w:p>
      <w:pPr>
        <w:pStyle w:val="Heading3"/>
        <w:spacing w:after="80" w:before="240" w:line="312" w:lineRule="auto"/>
      </w:pPr>
      <w:r>
        <w:rPr>
          <w:rFonts w:ascii="Calibri" w:cs="Calibri" w:eastAsia="Calibri" w:hAnsi="Calibri"/>
          <w:color w:val="1A1A1A"/>
          <w:sz w:val="24"/>
          <w:szCs w:val="24"/>
        </w:rPr>
        <w:t xml:space="preserve">2.2 Observation Does Not Equal Amendment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Observing that a provision is under pressure, unused, or drifting does not authorize or require amendment. Observability provides the evidence base for informed governance; it does not compel any particular governance outcome.</w:t>
      </w:r>
    </w:p>
    <w:p>
      <w:pPr>
        <w:pBdr>
          <w:bottom w:val="single" w:color="D6E4F0" w:sz="6"/>
        </w:pBdr>
        <w:spacing w:after="240" w:before="240"/>
      </w:pPr>
    </w:p>
    <w:p>
      <w:pPr>
        <w:pStyle w:val="Heading3"/>
        <w:spacing w:after="80" w:before="240" w:line="312" w:lineRule="auto"/>
      </w:pPr>
      <w:r>
        <w:rPr>
          <w:rFonts w:ascii="Calibri" w:cs="Calibri" w:eastAsia="Calibri" w:hAnsi="Calibri"/>
          <w:color w:val="1A1A1A"/>
          <w:sz w:val="24"/>
          <w:szCs w:val="24"/>
        </w:rPr>
        <w:t xml:space="preserve">2.3 Provision Lifecycle Is Constitutionally Significant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Every constitutional provision has a lifecycle: drafted, ratified, exercised, stable, under pressure, under review, amended, or deprecated. CEP-3 makes that lifecycle visible and trackable.</w:t>
      </w:r>
    </w:p>
    <w:p>
      <w:pPr>
        <w:pBdr>
          <w:bottom w:val="single" w:color="D6E4F0" w:sz="6"/>
        </w:pBdr>
        <w:spacing w:after="240" w:before="240"/>
      </w:pPr>
    </w:p>
    <w:p>
      <w:pPr>
        <w:pStyle w:val="Heading3"/>
        <w:spacing w:after="80" w:before="240" w:line="312" w:lineRule="auto"/>
      </w:pPr>
      <w:r>
        <w:rPr>
          <w:rFonts w:ascii="Calibri" w:cs="Calibri" w:eastAsia="Calibri" w:hAnsi="Calibri"/>
          <w:color w:val="1A1A1A"/>
          <w:sz w:val="24"/>
          <w:szCs w:val="24"/>
        </w:rPr>
        <w:t xml:space="preserve">2.4 Amendment Pipeline Observability Is Meta-Constitutional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health of the CEP-1 pipeline — its throughput, stage durations, failure rates, and ratification outcomes — is itself constitutionally significant. A healthy organism needs a healthy amendment process. CEP-3 monitors both.</w:t>
      </w:r>
    </w:p>
    <w:p>
      <w:pPr>
        <w:pBdr>
          <w:bottom w:val="single" w:color="D6E4F0" w:sz="6"/>
        </w:pBdr>
        <w:spacing w:after="240" w:before="240"/>
      </w:pPr>
    </w:p>
    <w:p>
      <w:pPr>
        <w:pBdr>
          <w:bottom w:val="single" w:color="000000" w:sz="6"/>
        </w:pBdr>
        <w:spacing w:after="240" w:before="240"/>
      </w:pPr>
    </w:p>
    <w:p>
      <w:pPr>
        <w:spacing w:after="60" w:before="360" w:line="360" w:lineRule="auto"/>
      </w:pPr>
      <w:r>
        <w:rPr>
          <w:rFonts w:ascii="Calibri" w:cs="Calibri" w:eastAsia="Calibri" w:hAnsi="Calibri"/>
          <w:b/>
          <w:bCs/>
          <w:i w:val="false"/>
          <w:iCs w:val="false"/>
          <w:strike w:val="false"/>
          <w:color w:val="2B5797"/>
          <w:spacing w:val="20"/>
          <w:sz w:val="18"/>
          <w:szCs w:val="18"/>
        </w:rPr>
        <w:t xml:space="preserve">SECTION 3</w:t>
      </w:r>
    </w:p>
    <w:p>
      <w:pPr>
        <w:pStyle w:val="Heading2"/>
        <w:spacing w:after="120" w:before="360" w:line="312" w:lineRule="auto"/>
      </w:pPr>
      <w:r>
        <w:rPr>
          <w:rFonts w:ascii="Calibri" w:cs="Calibri" w:eastAsia="Calibri" w:hAnsi="Calibri"/>
          <w:color w:val="1A1A1A"/>
          <w:sz w:val="30"/>
          <w:szCs w:val="30"/>
        </w:rPr>
        <w:t xml:space="preserve">Constitutional Observability Dimensions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CEP-3 defines six constitutional observability dimensions. Each dimension produces signals that feed into the Constitutional Health Status and the Constitutional Archive.</w:t>
      </w:r>
    </w:p>
    <w:p>
      <w:pPr>
        <w:pStyle w:val="Heading3"/>
        <w:spacing w:after="80" w:before="240" w:line="312" w:lineRule="auto"/>
      </w:pPr>
      <w:r>
        <w:rPr>
          <w:rFonts w:ascii="Calibri" w:cs="Calibri" w:eastAsia="Calibri" w:hAnsi="Calibri"/>
          <w:color w:val="1A1A1A"/>
          <w:sz w:val="24"/>
          <w:szCs w:val="24"/>
        </w:rPr>
        <w:t xml:space="preserve">3.1 Provision Application Frequency</w:t>
      </w:r>
    </w:p>
    <w:p>
      <w:pPr>
        <w:spacing w:after="120" w:before="60" w:line="360" w:lineRule="auto"/>
      </w:pPr>
      <w:r>
        <w:rPr>
          <w:rFonts w:ascii="Calibri" w:cs="Calibri" w:eastAsia="Calibri" w:hAnsi="Calibri"/>
          <w:b/>
          <w:bCs/>
          <w:i w:val="false"/>
          <w:iCs w:val="false"/>
          <w:strike w:val="false"/>
          <w:color w:val="000000"/>
          <w:sz w:val="22"/>
          <w:szCs w:val="22"/>
        </w:rPr>
        <w:t xml:space="preserve">Definition:</w:t>
      </w:r>
      <w:r>
        <w:rPr>
          <w:rFonts w:ascii="Calibri" w:cs="Calibri" w:eastAsia="Calibri" w:hAnsi="Calibri"/>
          <w:b w:val="false"/>
          <w:bCs w:val="false"/>
          <w:i w:val="false"/>
          <w:iCs w:val="false"/>
          <w:strike w:val="false"/>
          <w:color w:val="000000"/>
          <w:sz w:val="22"/>
          <w:szCs w:val="22"/>
        </w:rPr>
        <w:t xml:space="preserve"> How often each constitutional provision is invoked in constitutional validation decisions.</w:t>
      </w:r>
    </w:p>
    <w:p>
      <w:pPr>
        <w:spacing w:after="120" w:before="60" w:line="360" w:lineRule="auto"/>
      </w:pPr>
      <w:r>
        <w:rPr>
          <w:rFonts w:ascii="Calibri" w:cs="Calibri" w:eastAsia="Calibri" w:hAnsi="Calibri"/>
          <w:b/>
          <w:bCs/>
          <w:i w:val="false"/>
          <w:iCs w:val="false"/>
          <w:strike w:val="false"/>
          <w:color w:val="000000"/>
          <w:sz w:val="22"/>
          <w:szCs w:val="22"/>
        </w:rPr>
        <w:t xml:space="preserve">Measurement:</w:t>
      </w:r>
      <w:r>
        <w:rPr>
          <w:rFonts w:ascii="Calibri" w:cs="Calibri" w:eastAsia="Calibri" w:hAnsi="Calibri"/>
          <w:b w:val="false"/>
          <w:bCs w:val="false"/>
          <w:i w:val="false"/>
          <w:iCs w:val="false"/>
          <w:strike w:val="false"/>
          <w:color w:val="000000"/>
          <w:sz w:val="22"/>
          <w:szCs w:val="22"/>
        </w:rPr>
        <w:t xml:space="preserve"> Count of </w:t>
      </w:r>
      <w:r>
        <w:rPr>
          <w:rFonts w:ascii="Courier New" w:cs="Courier New" w:eastAsia="Courier New" w:hAnsi="Courier New"/>
          <w:b w:val="false"/>
          <w:bCs w:val="false"/>
          <w:i w:val="false"/>
          <w:iCs w:val="false"/>
          <w:color w:val="000000"/>
          <w:sz w:val="20"/>
          <w:szCs w:val="20"/>
          <w:shd w:fill="F3F4F6" w:color="auto" w:val="clear"/>
        </w:rPr>
        <w:t xml:space="preserve">soma.constitution.validation_complete</w:t>
      </w:r>
      <w:r>
        <w:rPr>
          <w:rFonts w:ascii="Calibri" w:cs="Calibri" w:eastAsia="Calibri" w:hAnsi="Calibri"/>
          <w:b w:val="false"/>
          <w:bCs w:val="false"/>
          <w:i w:val="false"/>
          <w:iCs w:val="false"/>
          <w:strike w:val="false"/>
          <w:color w:val="000000"/>
          <w:sz w:val="22"/>
          <w:szCs w:val="22"/>
        </w:rPr>
        <w:t xml:space="preserve"> events referencing each </w:t>
      </w:r>
      <w:r>
        <w:rPr>
          <w:rFonts w:ascii="Courier New" w:cs="Courier New" w:eastAsia="Courier New" w:hAnsi="Courier New"/>
          <w:b w:val="false"/>
          <w:bCs w:val="false"/>
          <w:i w:val="false"/>
          <w:iCs w:val="false"/>
          <w:color w:val="000000"/>
          <w:sz w:val="20"/>
          <w:szCs w:val="20"/>
          <w:shd w:fill="F3F4F6" w:color="auto" w:val="clear"/>
        </w:rPr>
        <w:t xml:space="preserve">provision_id</w:t>
      </w:r>
      <w:r>
        <w:rPr>
          <w:rFonts w:ascii="Calibri" w:cs="Calibri" w:eastAsia="Calibri" w:hAnsi="Calibri"/>
          <w:b w:val="false"/>
          <w:bCs w:val="false"/>
          <w:i w:val="false"/>
          <w:iCs w:val="false"/>
          <w:strike w:val="false"/>
          <w:color w:val="000000"/>
          <w:sz w:val="22"/>
          <w:szCs w:val="22"/>
        </w:rPr>
        <w:t xml:space="preserve">, rolling 30/90/365-day windows.</w:t>
      </w:r>
    </w:p>
    <w:p>
      <w:pPr>
        <w:spacing w:after="60" w:before="120" w:line="360" w:lineRule="auto"/>
      </w:pPr>
      <w:r>
        <w:rPr>
          <w:rFonts w:ascii="Calibri" w:cs="Calibri" w:eastAsia="Calibri" w:hAnsi="Calibri"/>
          <w:b/>
          <w:bCs/>
          <w:i w:val="false"/>
          <w:iCs w:val="false"/>
          <w:strike w:val="false"/>
          <w:color w:val="444444"/>
          <w:spacing w:val="10"/>
          <w:sz w:val="18"/>
          <w:szCs w:val="18"/>
        </w:rPr>
        <w:t xml:space="preserve">SIGNAL TYPES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High-frequency provisions:</w:t>
      </w:r>
      <w:r>
        <w:rPr>
          <w:rFonts w:ascii="Calibri" w:cs="Calibri" w:eastAsia="Calibri" w:hAnsi="Calibri"/>
          <w:b w:val="false"/>
          <w:bCs w:val="false"/>
          <w:i w:val="false"/>
          <w:iCs w:val="false"/>
          <w:strike w:val="false"/>
          <w:color w:val="000000"/>
          <w:sz w:val="22"/>
          <w:szCs w:val="22"/>
        </w:rPr>
        <w:t xml:space="preserve"> Exercised frequently — stable and load-bearing. Monitor for interpretation consistency.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Low-frequency provisions:</w:t>
      </w:r>
      <w:r>
        <w:rPr>
          <w:rFonts w:ascii="Calibri" w:cs="Calibri" w:eastAsia="Calibri" w:hAnsi="Calibri"/>
          <w:b w:val="false"/>
          <w:bCs w:val="false"/>
          <w:i w:val="false"/>
          <w:iCs w:val="false"/>
          <w:strike w:val="false"/>
          <w:color w:val="000000"/>
          <w:sz w:val="22"/>
          <w:szCs w:val="22"/>
        </w:rPr>
        <w:t xml:space="preserve"> Rarely exercised — may indicate operational workarounds or dormancy.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Zero-frequency provisions:</w:t>
      </w:r>
      <w:r>
        <w:rPr>
          <w:rFonts w:ascii="Calibri" w:cs="Calibri" w:eastAsia="Calibri" w:hAnsi="Calibri"/>
          <w:b w:val="false"/>
          <w:bCs w:val="false"/>
          <w:i w:val="false"/>
          <w:iCs w:val="false"/>
          <w:strike w:val="false"/>
          <w:color w:val="000000"/>
          <w:sz w:val="22"/>
          <w:szCs w:val="22"/>
        </w:rPr>
        <w:t xml:space="preserve"> Never exercised since ratification — flag for lifecycle review.</w:t>
      </w:r>
    </w:p>
    <w:p>
      <w:pPr>
        <w:spacing w:after="120" w:before="60" w:line="360" w:lineRule="auto"/>
      </w:pPr>
      <w:r>
        <w:rPr>
          <w:rFonts w:ascii="Calibri" w:cs="Calibri" w:eastAsia="Calibri" w:hAnsi="Calibri"/>
          <w:b/>
          <w:bCs/>
          <w:i w:val="false"/>
          <w:iCs w:val="false"/>
          <w:strike w:val="false"/>
          <w:color w:val="000000"/>
          <w:sz w:val="22"/>
          <w:szCs w:val="22"/>
        </w:rPr>
        <w:t xml:space="preserve">Output:</w:t>
      </w:r>
      <w:r>
        <w:rPr>
          <w:rFonts w:ascii="Calibri" w:cs="Calibri" w:eastAsia="Calibri" w:hAnsi="Calibri"/>
          <w:b w:val="false"/>
          <w:bCs w:val="false"/>
          <w:i w:val="false"/>
          <w:iCs w:val="false"/>
          <w:strike w:val="false"/>
          <w:color w:val="000000"/>
          <w:sz w:val="22"/>
          <w:szCs w:val="22"/>
        </w:rPr>
        <w:t xml:space="preserve"> Provision Application Heat Map, updated daily.</w:t>
      </w:r>
    </w:p>
    <w:p>
      <w:pPr>
        <w:pStyle w:val="Heading3"/>
        <w:spacing w:after="80" w:before="240" w:line="312" w:lineRule="auto"/>
      </w:pPr>
      <w:r>
        <w:rPr>
          <w:rFonts w:ascii="Calibri" w:cs="Calibri" w:eastAsia="Calibri" w:hAnsi="Calibri"/>
          <w:color w:val="1A1A1A"/>
          <w:sz w:val="24"/>
          <w:szCs w:val="24"/>
        </w:rPr>
        <w:t xml:space="preserve">3.2 Constitutional Violation Patterns</w:t>
      </w:r>
    </w:p>
    <w:p>
      <w:pPr>
        <w:spacing w:after="120" w:before="60" w:line="360" w:lineRule="auto"/>
      </w:pPr>
      <w:r>
        <w:rPr>
          <w:rFonts w:ascii="Calibri" w:cs="Calibri" w:eastAsia="Calibri" w:hAnsi="Calibri"/>
          <w:b/>
          <w:bCs/>
          <w:i w:val="false"/>
          <w:iCs w:val="false"/>
          <w:strike w:val="false"/>
          <w:color w:val="000000"/>
          <w:sz w:val="22"/>
          <w:szCs w:val="22"/>
        </w:rPr>
        <w:t xml:space="preserve">Definition:</w:t>
      </w:r>
      <w:r>
        <w:rPr>
          <w:rFonts w:ascii="Calibri" w:cs="Calibri" w:eastAsia="Calibri" w:hAnsi="Calibri"/>
          <w:b w:val="false"/>
          <w:bCs w:val="false"/>
          <w:i w:val="false"/>
          <w:iCs w:val="false"/>
          <w:strike w:val="false"/>
          <w:color w:val="000000"/>
          <w:sz w:val="22"/>
          <w:szCs w:val="22"/>
        </w:rPr>
        <w:t xml:space="preserve"> The pattern, frequency, and severity distribution of constitutional violations detected by Organ 03.</w:t>
      </w:r>
    </w:p>
    <w:p>
      <w:pPr>
        <w:spacing w:after="120" w:before="60" w:line="360" w:lineRule="auto"/>
      </w:pPr>
      <w:r>
        <w:rPr>
          <w:rFonts w:ascii="Calibri" w:cs="Calibri" w:eastAsia="Calibri" w:hAnsi="Calibri"/>
          <w:b/>
          <w:bCs/>
          <w:i w:val="false"/>
          <w:iCs w:val="false"/>
          <w:strike w:val="false"/>
          <w:color w:val="000000"/>
          <w:sz w:val="22"/>
          <w:szCs w:val="22"/>
        </w:rPr>
        <w:t xml:space="preserve">Measurement:</w:t>
      </w:r>
      <w:r>
        <w:rPr>
          <w:rFonts w:ascii="Calibri" w:cs="Calibri" w:eastAsia="Calibri" w:hAnsi="Calibri"/>
          <w:b w:val="false"/>
          <w:bCs w:val="false"/>
          <w:i w:val="false"/>
          <w:iCs w:val="false"/>
          <w:strike w:val="false"/>
          <w:color w:val="000000"/>
          <w:sz w:val="22"/>
          <w:szCs w:val="22"/>
        </w:rPr>
        <w:t xml:space="preserve"> Analysis of </w:t>
      </w:r>
      <w:r>
        <w:rPr>
          <w:rFonts w:ascii="Courier New" w:cs="Courier New" w:eastAsia="Courier New" w:hAnsi="Courier New"/>
          <w:b w:val="false"/>
          <w:bCs w:val="false"/>
          <w:i w:val="false"/>
          <w:iCs w:val="false"/>
          <w:color w:val="000000"/>
          <w:sz w:val="20"/>
          <w:szCs w:val="20"/>
          <w:shd w:fill="F3F4F6" w:color="auto" w:val="clear"/>
        </w:rPr>
        <w:t xml:space="preserve">soma.constitution.violation_detected</w:t>
      </w:r>
      <w:r>
        <w:rPr>
          <w:rFonts w:ascii="Calibri" w:cs="Calibri" w:eastAsia="Calibri" w:hAnsi="Calibri"/>
          <w:b w:val="false"/>
          <w:bCs w:val="false"/>
          <w:i w:val="false"/>
          <w:iCs w:val="false"/>
          <w:strike w:val="false"/>
          <w:color w:val="000000"/>
          <w:sz w:val="22"/>
          <w:szCs w:val="22"/>
        </w:rPr>
        <w:t xml:space="preserve"> events, clustered by </w:t>
      </w:r>
      <w:r>
        <w:rPr>
          <w:rFonts w:ascii="Courier New" w:cs="Courier New" w:eastAsia="Courier New" w:hAnsi="Courier New"/>
          <w:b w:val="false"/>
          <w:bCs w:val="false"/>
          <w:i w:val="false"/>
          <w:iCs w:val="false"/>
          <w:color w:val="000000"/>
          <w:sz w:val="20"/>
          <w:szCs w:val="20"/>
          <w:shd w:fill="F3F4F6" w:color="auto" w:val="clear"/>
        </w:rPr>
        <w:t xml:space="preserve">provision_id</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organ_id</w:t>
      </w:r>
      <w:r>
        <w:rPr>
          <w:rFonts w:ascii="Calibri" w:cs="Calibri" w:eastAsia="Calibri" w:hAnsi="Calibri"/>
          <w:b w:val="false"/>
          <w:bCs w:val="false"/>
          <w:i w:val="false"/>
          <w:iCs w:val="false"/>
          <w:strike w:val="false"/>
          <w:color w:val="000000"/>
          <w:sz w:val="22"/>
          <w:szCs w:val="22"/>
        </w:rPr>
        <w:t xml:space="preserve">, severity, and time window.</w:t>
      </w:r>
    </w:p>
    <w:p>
      <w:pPr>
        <w:spacing w:after="60" w:before="120" w:line="360" w:lineRule="auto"/>
      </w:pPr>
      <w:r>
        <w:rPr>
          <w:rFonts w:ascii="Calibri" w:cs="Calibri" w:eastAsia="Calibri" w:hAnsi="Calibri"/>
          <w:b/>
          <w:bCs/>
          <w:i w:val="false"/>
          <w:iCs w:val="false"/>
          <w:strike w:val="false"/>
          <w:color w:val="444444"/>
          <w:spacing w:val="10"/>
          <w:sz w:val="18"/>
          <w:szCs w:val="18"/>
        </w:rPr>
        <w:t xml:space="preserve">SIGNAL TYPES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Isolated violations:</w:t>
      </w:r>
      <w:r>
        <w:rPr>
          <w:rFonts w:ascii="Calibri" w:cs="Calibri" w:eastAsia="Calibri" w:hAnsi="Calibri"/>
          <w:b w:val="false"/>
          <w:bCs w:val="false"/>
          <w:i w:val="false"/>
          <w:iCs w:val="false"/>
          <w:strike w:val="false"/>
          <w:color w:val="000000"/>
          <w:sz w:val="22"/>
          <w:szCs w:val="22"/>
        </w:rPr>
        <w:t xml:space="preserve"> Single organ, non-repeating — remediate and monitor.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Repeated violations:</w:t>
      </w:r>
      <w:r>
        <w:rPr>
          <w:rFonts w:ascii="Calibri" w:cs="Calibri" w:eastAsia="Calibri" w:hAnsi="Calibri"/>
          <w:b w:val="false"/>
          <w:bCs w:val="false"/>
          <w:i w:val="false"/>
          <w:iCs w:val="false"/>
          <w:strike w:val="false"/>
          <w:color w:val="000000"/>
          <w:sz w:val="22"/>
          <w:szCs w:val="22"/>
        </w:rPr>
        <w:t xml:space="preserve"> Same organ, same provision — systemic organ non-conformance requiring intervention.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Distributed violations:</w:t>
      </w:r>
      <w:r>
        <w:rPr>
          <w:rFonts w:ascii="Calibri" w:cs="Calibri" w:eastAsia="Calibri" w:hAnsi="Calibri"/>
          <w:b w:val="false"/>
          <w:bCs w:val="false"/>
          <w:i w:val="false"/>
          <w:iCs w:val="false"/>
          <w:strike w:val="false"/>
          <w:color w:val="000000"/>
          <w:sz w:val="22"/>
          <w:szCs w:val="22"/>
        </w:rPr>
        <w:t xml:space="preserve"> Multiple organs, same provision — provision may be ambiguous or unimplementable as written. Flag for CEP-1 review.</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Escalating violations:</w:t>
      </w:r>
      <w:r>
        <w:rPr>
          <w:rFonts w:ascii="Calibri" w:cs="Calibri" w:eastAsia="Calibri" w:hAnsi="Calibri"/>
          <w:b w:val="false"/>
          <w:bCs w:val="false"/>
          <w:i w:val="false"/>
          <w:iCs w:val="false"/>
          <w:strike w:val="false"/>
          <w:color w:val="000000"/>
          <w:sz w:val="22"/>
          <w:szCs w:val="22"/>
        </w:rPr>
        <w:t xml:space="preserve"> Increasing frequency trend — constitutional stress indicator.</w:t>
      </w:r>
    </w:p>
    <w:p>
      <w:pPr>
        <w:spacing w:after="120" w:before="60" w:line="360" w:lineRule="auto"/>
      </w:pPr>
      <w:r>
        <w:rPr>
          <w:rFonts w:ascii="Calibri" w:cs="Calibri" w:eastAsia="Calibri" w:hAnsi="Calibri"/>
          <w:b/>
          <w:bCs/>
          <w:i w:val="false"/>
          <w:iCs w:val="false"/>
          <w:strike w:val="false"/>
          <w:color w:val="000000"/>
          <w:sz w:val="22"/>
          <w:szCs w:val="22"/>
        </w:rPr>
        <w:t xml:space="preserve">Output:</w:t>
      </w:r>
      <w:r>
        <w:rPr>
          <w:rFonts w:ascii="Calibri" w:cs="Calibri" w:eastAsia="Calibri" w:hAnsi="Calibri"/>
          <w:b w:val="false"/>
          <w:bCs w:val="false"/>
          <w:i w:val="false"/>
          <w:iCs w:val="false"/>
          <w:strike w:val="false"/>
          <w:color w:val="000000"/>
          <w:sz w:val="22"/>
          <w:szCs w:val="22"/>
        </w:rPr>
        <w:t xml:space="preserve"> Violation Pattern Report, updated in real time with weekly summary.</w:t>
      </w:r>
    </w:p>
    <w:p>
      <w:pPr>
        <w:pStyle w:val="Heading3"/>
        <w:spacing w:after="80" w:before="240" w:line="312" w:lineRule="auto"/>
      </w:pPr>
      <w:r>
        <w:rPr>
          <w:rFonts w:ascii="Calibri" w:cs="Calibri" w:eastAsia="Calibri" w:hAnsi="Calibri"/>
          <w:color w:val="1A1A1A"/>
          <w:sz w:val="24"/>
          <w:szCs w:val="24"/>
        </w:rPr>
        <w:t xml:space="preserve">3.3 Amendment Pipeline Health</w:t>
      </w:r>
    </w:p>
    <w:p>
      <w:pPr>
        <w:spacing w:after="120" w:before="60" w:line="360" w:lineRule="auto"/>
      </w:pPr>
      <w:r>
        <w:rPr>
          <w:rFonts w:ascii="Calibri" w:cs="Calibri" w:eastAsia="Calibri" w:hAnsi="Calibri"/>
          <w:b/>
          <w:bCs/>
          <w:i w:val="false"/>
          <w:iCs w:val="false"/>
          <w:strike w:val="false"/>
          <w:color w:val="000000"/>
          <w:sz w:val="22"/>
          <w:szCs w:val="22"/>
        </w:rPr>
        <w:t xml:space="preserve">Definition:</w:t>
      </w:r>
      <w:r>
        <w:rPr>
          <w:rFonts w:ascii="Calibri" w:cs="Calibri" w:eastAsia="Calibri" w:hAnsi="Calibri"/>
          <w:b w:val="false"/>
          <w:bCs w:val="false"/>
          <w:i w:val="false"/>
          <w:iCs w:val="false"/>
          <w:strike w:val="false"/>
          <w:color w:val="000000"/>
          <w:sz w:val="22"/>
          <w:szCs w:val="22"/>
        </w:rPr>
        <w:t xml:space="preserve"> The operational health and throughput of the CEP-1 seven-stage amendment pipeline.</w:t>
      </w:r>
    </w:p>
    <w:p>
      <w:pPr>
        <w:spacing w:after="120" w:before="60" w:line="360" w:lineRule="auto"/>
      </w:pPr>
      <w:r>
        <w:rPr>
          <w:rFonts w:ascii="Calibri" w:cs="Calibri" w:eastAsia="Calibri" w:hAnsi="Calibri"/>
          <w:b/>
          <w:bCs/>
          <w:i w:val="false"/>
          <w:iCs w:val="false"/>
          <w:strike w:val="false"/>
          <w:color w:val="000000"/>
          <w:sz w:val="22"/>
          <w:szCs w:val="22"/>
        </w:rPr>
        <w:t xml:space="preserve">Measurement:</w:t>
      </w:r>
      <w:r>
        <w:rPr>
          <w:rFonts w:ascii="Calibri" w:cs="Calibri" w:eastAsia="Calibri" w:hAnsi="Calibri"/>
          <w:b w:val="false"/>
          <w:bCs w:val="false"/>
          <w:i w:val="false"/>
          <w:iCs w:val="false"/>
          <w:strike w:val="false"/>
          <w:color w:val="000000"/>
          <w:sz w:val="22"/>
          <w:szCs w:val="22"/>
        </w:rPr>
        <w:t xml:space="preserve"> Stage duration metrics, stage failure rates, proposal abandonment rates, ratification outcomes, and time-from-proposal-to-amendment for all CEP-1 instances.</w:t>
      </w:r>
    </w:p>
    <w:p>
      <w:pPr>
        <w:spacing w:after="60" w:before="120" w:line="360" w:lineRule="auto"/>
      </w:pPr>
      <w:r>
        <w:rPr>
          <w:rFonts w:ascii="Calibri" w:cs="Calibri" w:eastAsia="Calibri" w:hAnsi="Calibri"/>
          <w:b/>
          <w:bCs/>
          <w:i w:val="false"/>
          <w:iCs w:val="false"/>
          <w:strike w:val="false"/>
          <w:color w:val="444444"/>
          <w:spacing w:val="10"/>
          <w:sz w:val="18"/>
          <w:szCs w:val="18"/>
        </w:rPr>
        <w:t xml:space="preserve">KEY METRICS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36%"/>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Metric</w:t>
            </w:r>
          </w:p>
        </w:tc>
        <w:tc>
          <w:tcPr>
            <w:tcW w:type="pct" w:w="24%"/>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Healthy Range</w:t>
            </w:r>
          </w:p>
        </w:tc>
        <w:tc>
          <w:tcPr>
            <w:tcW w:type="pct" w:w="19%"/>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Warning Threshold</w:t>
            </w:r>
          </w:p>
        </w:tc>
        <w:tc>
          <w:tcPr>
            <w:tcW w:type="pct" w:w="21%"/>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Critical Threshold</w:t>
            </w:r>
          </w:p>
        </w:tc>
      </w:tr>
      <w:tr>
        <w:trPr>
          <w:tblHeader w:val="false"/>
        </w:trPr>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Stage 1–7 Average Duration</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Defined per stage</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&gt;2x baseline</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&gt;5x baseline</w:t>
            </w:r>
          </w:p>
        </w:tc>
      </w:tr>
      <w:tr>
        <w:trPr>
          <w:tblHeader w:val="false"/>
        </w:trPr>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Pipeline Failure Rate</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&lt;5% per stage</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5–15%</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&gt;15%</w:t>
            </w:r>
          </w:p>
        </w:tc>
      </w:tr>
      <w:tr>
        <w:trPr>
          <w:tblHeader w:val="false"/>
        </w:trPr>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Proposal Abandonment Rate</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&lt;10%</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10–25%</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&gt;25%</w:t>
            </w:r>
          </w:p>
        </w:tc>
      </w:tr>
      <w:tr>
        <w:trPr>
          <w:tblHeader w:val="false"/>
        </w:trPr>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Ratification Success Rate</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&gt;80%</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60–80%</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&lt;60%</w:t>
            </w:r>
          </w:p>
        </w:tc>
      </w:tr>
      <w:tr>
        <w:trPr>
          <w:tblHeader w:val="false"/>
        </w:trPr>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Avg Days Proposal-to-Amendment</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Baseline ±20%</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±20–50%</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&gt;50% deviation</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Output:</w:t>
      </w:r>
      <w:r>
        <w:rPr>
          <w:rFonts w:ascii="Calibri" w:cs="Calibri" w:eastAsia="Calibri" w:hAnsi="Calibri"/>
          <w:b w:val="false"/>
          <w:bCs w:val="false"/>
          <w:i w:val="false"/>
          <w:iCs w:val="false"/>
          <w:strike w:val="false"/>
          <w:color w:val="000000"/>
          <w:sz w:val="22"/>
          <w:szCs w:val="22"/>
        </w:rPr>
        <w:t xml:space="preserve"> Amendment Pipeline Health Dashboard, updated per pipeline event.</w:t>
      </w:r>
    </w:p>
    <w:p>
      <w:pPr>
        <w:pStyle w:val="Heading3"/>
        <w:spacing w:after="80" w:before="240" w:line="312" w:lineRule="auto"/>
      </w:pPr>
      <w:r>
        <w:rPr>
          <w:rFonts w:ascii="Calibri" w:cs="Calibri" w:eastAsia="Calibri" w:hAnsi="Calibri"/>
          <w:color w:val="1A1A1A"/>
          <w:sz w:val="24"/>
          <w:szCs w:val="24"/>
        </w:rPr>
        <w:t xml:space="preserve">3.4 Provision Pressure Index</w:t>
      </w:r>
    </w:p>
    <w:p>
      <w:pPr>
        <w:spacing w:after="120" w:before="60" w:line="360" w:lineRule="auto"/>
      </w:pPr>
      <w:r>
        <w:rPr>
          <w:rFonts w:ascii="Calibri" w:cs="Calibri" w:eastAsia="Calibri" w:hAnsi="Calibri"/>
          <w:b/>
          <w:bCs/>
          <w:i w:val="false"/>
          <w:iCs w:val="false"/>
          <w:strike w:val="false"/>
          <w:color w:val="000000"/>
          <w:sz w:val="22"/>
          <w:szCs w:val="22"/>
        </w:rPr>
        <w:t xml:space="preserve">Definition:</w:t>
      </w:r>
      <w:r>
        <w:rPr>
          <w:rFonts w:ascii="Calibri" w:cs="Calibri" w:eastAsia="Calibri" w:hAnsi="Calibri"/>
          <w:b w:val="false"/>
          <w:bCs w:val="false"/>
          <w:i w:val="false"/>
          <w:iCs w:val="false"/>
          <w:strike w:val="false"/>
          <w:color w:val="000000"/>
          <w:sz w:val="22"/>
          <w:szCs w:val="22"/>
        </w:rPr>
        <w:t xml:space="preserve"> The degree to which each constitutional provision is under active pressure for change, measured by amendment proposal activity targeting that provision.</w:t>
      </w:r>
    </w:p>
    <w:p>
      <w:pPr>
        <w:spacing w:after="120" w:before="60" w:line="360" w:lineRule="auto"/>
      </w:pPr>
      <w:r>
        <w:rPr>
          <w:rFonts w:ascii="Calibri" w:cs="Calibri" w:eastAsia="Calibri" w:hAnsi="Calibri"/>
          <w:b/>
          <w:bCs/>
          <w:i w:val="false"/>
          <w:iCs w:val="false"/>
          <w:strike w:val="false"/>
          <w:color w:val="000000"/>
          <w:sz w:val="22"/>
          <w:szCs w:val="22"/>
        </w:rPr>
        <w:t xml:space="preserve">Measurement:</w:t>
      </w:r>
      <w:r>
        <w:rPr>
          <w:rFonts w:ascii="Calibri" w:cs="Calibri" w:eastAsia="Calibri" w:hAnsi="Calibri"/>
          <w:b w:val="false"/>
          <w:bCs w:val="false"/>
          <w:i w:val="false"/>
          <w:iCs w:val="false"/>
          <w:strike w:val="false"/>
          <w:color w:val="000000"/>
          <w:sz w:val="22"/>
          <w:szCs w:val="22"/>
        </w:rPr>
        <w:t xml:space="preserve"> Count and clustering of </w:t>
      </w:r>
      <w:r>
        <w:rPr>
          <w:rFonts w:ascii="Courier New" w:cs="Courier New" w:eastAsia="Courier New" w:hAnsi="Courier New"/>
          <w:b w:val="false"/>
          <w:bCs w:val="false"/>
          <w:i w:val="false"/>
          <w:iCs w:val="false"/>
          <w:color w:val="000000"/>
          <w:sz w:val="20"/>
          <w:szCs w:val="20"/>
          <w:shd w:fill="F3F4F6" w:color="auto" w:val="clear"/>
        </w:rPr>
        <w:t xml:space="preserve">soma.constitution.amendment_proposed</w:t>
      </w:r>
      <w:r>
        <w:rPr>
          <w:rFonts w:ascii="Calibri" w:cs="Calibri" w:eastAsia="Calibri" w:hAnsi="Calibri"/>
          <w:b w:val="false"/>
          <w:bCs w:val="false"/>
          <w:i w:val="false"/>
          <w:iCs w:val="false"/>
          <w:strike w:val="false"/>
          <w:color w:val="000000"/>
          <w:sz w:val="22"/>
          <w:szCs w:val="22"/>
        </w:rPr>
        <w:t xml:space="preserve"> events by targeted provision or article, weighted by proposal recurrence and principal diversity.</w:t>
      </w:r>
    </w:p>
    <w:p>
      <w:pPr>
        <w:spacing w:after="60" w:before="120" w:line="360" w:lineRule="auto"/>
      </w:pPr>
      <w:r>
        <w:rPr>
          <w:rFonts w:ascii="Calibri" w:cs="Calibri" w:eastAsia="Calibri" w:hAnsi="Calibri"/>
          <w:b/>
          <w:bCs/>
          <w:i w:val="false"/>
          <w:iCs w:val="false"/>
          <w:strike w:val="false"/>
          <w:color w:val="444444"/>
          <w:spacing w:val="10"/>
          <w:sz w:val="18"/>
          <w:szCs w:val="18"/>
        </w:rPr>
        <w:t xml:space="preserve">SIGNAL TYPES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High-pressure provisions:</w:t>
      </w:r>
      <w:r>
        <w:rPr>
          <w:rFonts w:ascii="Calibri" w:cs="Calibri" w:eastAsia="Calibri" w:hAnsi="Calibri"/>
          <w:b w:val="false"/>
          <w:bCs w:val="false"/>
          <w:i w:val="false"/>
          <w:iCs w:val="false"/>
          <w:strike w:val="false"/>
          <w:color w:val="000000"/>
          <w:sz w:val="22"/>
          <w:szCs w:val="22"/>
        </w:rPr>
        <w:t xml:space="preserve"> Frequently proposed for amendment — strong signal of operational friction with current text.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Moderate-pressure provisions:</w:t>
      </w:r>
      <w:r>
        <w:rPr>
          <w:rFonts w:ascii="Calibri" w:cs="Calibri" w:eastAsia="Calibri" w:hAnsi="Calibri"/>
          <w:b w:val="false"/>
          <w:bCs w:val="false"/>
          <w:i w:val="false"/>
          <w:iCs w:val="false"/>
          <w:strike w:val="false"/>
          <w:color w:val="000000"/>
          <w:sz w:val="22"/>
          <w:szCs w:val="22"/>
        </w:rPr>
        <w:t xml:space="preserve"> Occasional proposals — monitor for trend direction.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Low-pressure provisions:</w:t>
      </w:r>
      <w:r>
        <w:rPr>
          <w:rFonts w:ascii="Calibri" w:cs="Calibri" w:eastAsia="Calibri" w:hAnsi="Calibri"/>
          <w:b w:val="false"/>
          <w:bCs w:val="false"/>
          <w:i w:val="false"/>
          <w:iCs w:val="false"/>
          <w:strike w:val="false"/>
          <w:color w:val="000000"/>
          <w:sz w:val="22"/>
          <w:szCs w:val="22"/>
        </w:rPr>
        <w:t xml:space="preserve"> Rarely proposed for amendment — stable.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EF4FB" w:color="auto" w:val="clear"/>
            <w:tcMar>
              <w:top w:type="dxa" w:w="150"/>
              <w:left w:type="dxa" w:w="210"/>
              <w:bottom w:type="dxa" w:w="150"/>
              <w:right w:type="dxa" w:w="210"/>
            </w:tcMar>
          </w:tcPr>
          <w:p>
            <w:pPr>
              <w:spacing w:after="80" w:line="360" w:lineRule="auto"/>
            </w:pPr>
            <w:r>
              <w:rPr>
                <w:rFonts w:ascii="Calibri" w:cs="Calibri" w:eastAsia="Calibri" w:hAnsi="Calibri"/>
                <w:b/>
                <w:bCs/>
                <w:i w:val="false"/>
                <w:iCs w:val="false"/>
                <w:strike w:val="false"/>
                <w:color w:val="2B5797"/>
                <w:spacing w:val="10"/>
                <w:sz w:val="18"/>
                <w:szCs w:val="18"/>
              </w:rPr>
              <w:t xml:space="preserve">Interpretation Note</w:t>
            </w:r>
          </w:p>
          <w:p>
            <w:pPr>
              <w:spacing w:after="0" w:line="360" w:lineRule="auto"/>
            </w:pPr>
            <w:r>
              <w:rPr>
                <w:rFonts w:ascii="Calibri" w:cs="Calibri" w:eastAsia="Calibri" w:hAnsi="Calibri"/>
                <w:b w:val="false"/>
                <w:bCs w:val="false"/>
                <w:i w:val="false"/>
                <w:iCs w:val="false"/>
                <w:strike w:val="false"/>
                <w:color w:val="000000"/>
                <w:sz w:val="22"/>
                <w:szCs w:val="22"/>
              </w:rPr>
              <w:t xml:space="preserve">Pressure is not itself a mandate for amendment. It is evidence of friction that may or may not warrant constitutional change after full CEP-1 analysis.</w:t>
            </w:r>
          </w:p>
        </w:tc>
      </w:tr>
    </w:tbl>
    <w:p>
      <w:pPr>
        <w:spacing w:after="240" w:before="0"/>
      </w:pPr>
    </w:p>
    <w:p>
      <w:pPr>
        <w:spacing w:after="120" w:before="60" w:line="360" w:lineRule="auto"/>
      </w:pPr>
      <w:r>
        <w:rPr>
          <w:rFonts w:ascii="Calibri" w:cs="Calibri" w:eastAsia="Calibri" w:hAnsi="Calibri"/>
          <w:b/>
          <w:bCs/>
          <w:i w:val="false"/>
          <w:iCs w:val="false"/>
          <w:strike w:val="false"/>
          <w:color w:val="000000"/>
          <w:sz w:val="22"/>
          <w:szCs w:val="22"/>
        </w:rPr>
        <w:t xml:space="preserve">Output:</w:t>
      </w:r>
      <w:r>
        <w:rPr>
          <w:rFonts w:ascii="Calibri" w:cs="Calibri" w:eastAsia="Calibri" w:hAnsi="Calibri"/>
          <w:b w:val="false"/>
          <w:bCs w:val="false"/>
          <w:i w:val="false"/>
          <w:iCs w:val="false"/>
          <w:strike w:val="false"/>
          <w:color w:val="000000"/>
          <w:sz w:val="22"/>
          <w:szCs w:val="22"/>
        </w:rPr>
        <w:t xml:space="preserve"> Provision Pressure Heat Map, updated per amendment proposal.</w:t>
      </w:r>
    </w:p>
    <w:p>
      <w:pPr>
        <w:pStyle w:val="Heading3"/>
        <w:spacing w:after="80" w:before="240" w:line="312" w:lineRule="auto"/>
      </w:pPr>
      <w:r>
        <w:rPr>
          <w:rFonts w:ascii="Calibri" w:cs="Calibri" w:eastAsia="Calibri" w:hAnsi="Calibri"/>
          <w:color w:val="1A1A1A"/>
          <w:sz w:val="24"/>
          <w:szCs w:val="24"/>
        </w:rPr>
        <w:t xml:space="preserve">3.5 Interpretation Drift Detection</w:t>
      </w:r>
    </w:p>
    <w:p>
      <w:pPr>
        <w:spacing w:after="120" w:before="60" w:line="360" w:lineRule="auto"/>
      </w:pPr>
      <w:r>
        <w:rPr>
          <w:rFonts w:ascii="Calibri" w:cs="Calibri" w:eastAsia="Calibri" w:hAnsi="Calibri"/>
          <w:b/>
          <w:bCs/>
          <w:i w:val="false"/>
          <w:iCs w:val="false"/>
          <w:strike w:val="false"/>
          <w:color w:val="000000"/>
          <w:sz w:val="22"/>
          <w:szCs w:val="22"/>
        </w:rPr>
        <w:t xml:space="preserve">Definition:</w:t>
      </w:r>
      <w:r>
        <w:rPr>
          <w:rFonts w:ascii="Calibri" w:cs="Calibri" w:eastAsia="Calibri" w:hAnsi="Calibri"/>
          <w:b w:val="false"/>
          <w:bCs w:val="false"/>
          <w:i w:val="false"/>
          <w:iCs w:val="false"/>
          <w:strike w:val="false"/>
          <w:color w:val="000000"/>
          <w:sz w:val="22"/>
          <w:szCs w:val="22"/>
        </w:rPr>
        <w:t xml:space="preserve"> Detection of systematic divergence between the original ratified text of a provision and the way it is being applied in practice across validation decisions.</w:t>
      </w:r>
    </w:p>
    <w:p>
      <w:pPr>
        <w:spacing w:after="120" w:before="60" w:line="360" w:lineRule="auto"/>
      </w:pPr>
      <w:r>
        <w:rPr>
          <w:rFonts w:ascii="Calibri" w:cs="Calibri" w:eastAsia="Calibri" w:hAnsi="Calibri"/>
          <w:b/>
          <w:bCs/>
          <w:i w:val="false"/>
          <w:iCs w:val="false"/>
          <w:strike w:val="false"/>
          <w:color w:val="000000"/>
          <w:sz w:val="22"/>
          <w:szCs w:val="22"/>
        </w:rPr>
        <w:t xml:space="preserve">Measurement:</w:t>
      </w:r>
      <w:r>
        <w:rPr>
          <w:rFonts w:ascii="Calibri" w:cs="Calibri" w:eastAsia="Calibri" w:hAnsi="Calibri"/>
          <w:b w:val="false"/>
          <w:bCs w:val="false"/>
          <w:i w:val="false"/>
          <w:iCs w:val="false"/>
          <w:strike w:val="false"/>
          <w:color w:val="000000"/>
          <w:sz w:val="22"/>
          <w:szCs w:val="22"/>
        </w:rPr>
        <w:t xml:space="preserve"> Semantic analysis of validation decision rationale logs against the original ratified provision text, tracked across rolling time windows. Drift score = degree of semantic divergence from ratification baseline.</w:t>
      </w:r>
    </w:p>
    <w:p>
      <w:pPr>
        <w:spacing w:after="60" w:before="120" w:line="360" w:lineRule="auto"/>
      </w:pPr>
      <w:r>
        <w:rPr>
          <w:rFonts w:ascii="Calibri" w:cs="Calibri" w:eastAsia="Calibri" w:hAnsi="Calibri"/>
          <w:b/>
          <w:bCs/>
          <w:i w:val="false"/>
          <w:iCs w:val="false"/>
          <w:strike w:val="false"/>
          <w:color w:val="444444"/>
          <w:spacing w:val="10"/>
          <w:sz w:val="18"/>
          <w:szCs w:val="18"/>
        </w:rPr>
        <w:t xml:space="preserve">DRIFT THRESHOLDS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0%"/>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Drift Score</w:t>
            </w:r>
          </w:p>
        </w:tc>
        <w:tc>
          <w:tcPr>
            <w:tcW w:type="pct" w:w="17%"/>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Status</w:t>
            </w:r>
          </w:p>
        </w:tc>
        <w:tc>
          <w:tcPr>
            <w:tcW w:type="pct" w:w="73%"/>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Required Action</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0–10</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Drift</w:t>
            </w:r>
          </w:p>
        </w:tc>
        <w:tc>
          <w:tcPr>
            <w:tcW w:type="pct" w:w="7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Application consistent with ratification text. No action required.</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11–25</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Interpretive Variation</w:t>
            </w:r>
          </w:p>
        </w:tc>
        <w:tc>
          <w:tcPr>
            <w:tcW w:type="pct" w:w="7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Within acceptable range; document for transparency.</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26–50</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Interpretive Drift</w:t>
            </w:r>
          </w:p>
        </w:tc>
        <w:tc>
          <w:tcPr>
            <w:tcW w:type="pct" w:w="7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Flag for constitutional review; may indicate need for clarifying amendment.</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51+</w:t>
            </w:r>
          </w:p>
        </w:tc>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Interpretive Rupture</w:t>
            </w:r>
          </w:p>
        </w:tc>
        <w:tc>
          <w:tcPr>
            <w:tcW w:type="pct" w:w="7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Provision application has materially diverged from ratification intent. </w:t>
            </w:r>
            <w:r>
              <w:rPr>
                <w:rFonts w:ascii="Calibri" w:cs="Calibri" w:eastAsia="Calibri" w:hAnsi="Calibri"/>
                <w:b/>
                <w:bCs/>
                <w:i w:val="false"/>
                <w:iCs w:val="false"/>
                <w:strike w:val="false"/>
                <w:color w:val="000000"/>
                <w:sz w:val="22"/>
                <w:szCs w:val="22"/>
              </w:rPr>
              <w:t xml:space="preserve">Mandatory CEP-1 review; provisional suspension of affected validations until resolved.</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Output:</w:t>
      </w:r>
      <w:r>
        <w:rPr>
          <w:rFonts w:ascii="Calibri" w:cs="Calibri" w:eastAsia="Calibri" w:hAnsi="Calibri"/>
          <w:b w:val="false"/>
          <w:bCs w:val="false"/>
          <w:i w:val="false"/>
          <w:iCs w:val="false"/>
          <w:strike w:val="false"/>
          <w:color w:val="000000"/>
          <w:sz w:val="22"/>
          <w:szCs w:val="22"/>
        </w:rPr>
        <w:t xml:space="preserve"> Interpretation Drift Report per provision, updated quarterly with real-time alerts for Score 51+.</w:t>
      </w:r>
    </w:p>
    <w:p>
      <w:pPr>
        <w:pStyle w:val="Heading3"/>
        <w:spacing w:after="80" w:before="240" w:line="312" w:lineRule="auto"/>
      </w:pPr>
      <w:r>
        <w:rPr>
          <w:rFonts w:ascii="Calibri" w:cs="Calibri" w:eastAsia="Calibri" w:hAnsi="Calibri"/>
          <w:color w:val="1A1A1A"/>
          <w:sz w:val="24"/>
          <w:szCs w:val="24"/>
        </w:rPr>
        <w:t xml:space="preserve">3.6 Provision Lifecycle Status</w:t>
      </w:r>
    </w:p>
    <w:p>
      <w:pPr>
        <w:spacing w:after="120" w:before="60" w:line="360" w:lineRule="auto"/>
      </w:pPr>
      <w:r>
        <w:rPr>
          <w:rFonts w:ascii="Calibri" w:cs="Calibri" w:eastAsia="Calibri" w:hAnsi="Calibri"/>
          <w:b/>
          <w:bCs/>
          <w:i w:val="false"/>
          <w:iCs w:val="false"/>
          <w:strike w:val="false"/>
          <w:color w:val="000000"/>
          <w:sz w:val="22"/>
          <w:szCs w:val="22"/>
        </w:rPr>
        <w:t xml:space="preserve">Definition:</w:t>
      </w:r>
      <w:r>
        <w:rPr>
          <w:rFonts w:ascii="Calibri" w:cs="Calibri" w:eastAsia="Calibri" w:hAnsi="Calibri"/>
          <w:b w:val="false"/>
          <w:bCs w:val="false"/>
          <w:i w:val="false"/>
          <w:iCs w:val="false"/>
          <w:strike w:val="false"/>
          <w:color w:val="000000"/>
          <w:sz w:val="22"/>
          <w:szCs w:val="22"/>
        </w:rPr>
        <w:t xml:space="preserve"> The formal lifecycle status of every constitutional provision, maintained as a continuously updated registry.</w:t>
      </w:r>
    </w:p>
    <w:p>
      <w:pPr>
        <w:spacing w:after="60" w:before="120" w:line="360" w:lineRule="auto"/>
      </w:pPr>
      <w:r>
        <w:rPr>
          <w:rFonts w:ascii="Calibri" w:cs="Calibri" w:eastAsia="Calibri" w:hAnsi="Calibri"/>
          <w:b/>
          <w:bCs/>
          <w:i w:val="false"/>
          <w:iCs w:val="false"/>
          <w:strike w:val="false"/>
          <w:color w:val="444444"/>
          <w:spacing w:val="10"/>
          <w:sz w:val="18"/>
          <w:szCs w:val="18"/>
        </w:rPr>
        <w:t xml:space="preserve">LIFECYCLE STATES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5%"/>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State</w:t>
            </w:r>
          </w:p>
        </w:tc>
        <w:tc>
          <w:tcPr>
            <w:tcW w:type="pct" w:w="34%"/>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Definition</w:t>
            </w:r>
          </w:p>
        </w:tc>
        <w:tc>
          <w:tcPr>
            <w:tcW w:type="pct" w:w="25%"/>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Entry Criteria</w:t>
            </w:r>
          </w:p>
        </w:tc>
        <w:tc>
          <w:tcPr>
            <w:tcW w:type="pct" w:w="26%"/>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Exit Criteria</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Proposed</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Provision has been drafted but not ratified</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Amendment proposal submitted</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Ratification or withdrawal</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Ratified</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Provision is in force</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Successful CEP-1 completion</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Amendment or deprecation</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Stable</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Provision in force with no active pressure</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180+ days ratified, no proposals</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Pressure signal exceeds threshold</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Under Pressure</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Active amendment proposals targeting this provision</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Proposal threshold exceeded</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Proposals withdrawn or CEP-1 initiated</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Under Review</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Formal CEP-1 process initiated for this provision</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CEP-1 Stage 1 commenced</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Ratification, rejection, or withdrawal</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Amended</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Provision has been superseded by a ratified amendment</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Amendment ratified</w:t>
            </w:r>
          </w:p>
        </w:tc>
        <w:tc>
          <w:tcPr>
            <w:tcW w:type="pct" w:w="26%"/>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Terminal — prior version archived</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Deprecated</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Provision removed from active Constitution</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CEP-1 deprecation process completed</w:t>
            </w:r>
          </w:p>
        </w:tc>
        <w:tc>
          <w:tcPr>
            <w:tcW w:type="pct" w:w="26%"/>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Terminal — archived permanently</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Output:</w:t>
      </w:r>
      <w:r>
        <w:rPr>
          <w:rFonts w:ascii="Calibri" w:cs="Calibri" w:eastAsia="Calibri" w:hAnsi="Calibri"/>
          <w:b w:val="false"/>
          <w:bCs w:val="false"/>
          <w:i w:val="false"/>
          <w:iCs w:val="false"/>
          <w:strike w:val="false"/>
          <w:color w:val="000000"/>
          <w:sz w:val="22"/>
          <w:szCs w:val="22"/>
        </w:rPr>
        <w:t xml:space="preserve"> Constitutional Provision Registry, real-time.</w:t>
      </w:r>
    </w:p>
    <w:p>
      <w:pPr>
        <w:pBdr>
          <w:bottom w:val="single" w:color="000000" w:sz="6"/>
        </w:pBdr>
        <w:spacing w:after="240" w:before="240"/>
      </w:pPr>
    </w:p>
    <w:p>
      <w:pPr>
        <w:spacing w:after="60" w:before="360" w:line="360" w:lineRule="auto"/>
      </w:pPr>
      <w:r>
        <w:rPr>
          <w:rFonts w:ascii="Calibri" w:cs="Calibri" w:eastAsia="Calibri" w:hAnsi="Calibri"/>
          <w:b/>
          <w:bCs/>
          <w:i w:val="false"/>
          <w:iCs w:val="false"/>
          <w:strike w:val="false"/>
          <w:color w:val="2B5797"/>
          <w:spacing w:val="20"/>
          <w:sz w:val="18"/>
          <w:szCs w:val="18"/>
        </w:rPr>
        <w:t xml:space="preserve">SECTION 4</w:t>
      </w:r>
    </w:p>
    <w:p>
      <w:pPr>
        <w:pStyle w:val="Heading2"/>
        <w:spacing w:after="120" w:before="360" w:line="312" w:lineRule="auto"/>
      </w:pPr>
      <w:r>
        <w:rPr>
          <w:rFonts w:ascii="Calibri" w:cs="Calibri" w:eastAsia="Calibri" w:hAnsi="Calibri"/>
          <w:color w:val="1A1A1A"/>
          <w:sz w:val="30"/>
          <w:szCs w:val="30"/>
        </w:rPr>
        <w:t xml:space="preserve">Constitutional Archive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CEP-3 defines the Constitutional Archive — the permanent, immutable record of every version of the Constitution and every constitutional event.</w:t>
      </w:r>
    </w:p>
    <w:p>
      <w:pPr>
        <w:pStyle w:val="Heading3"/>
        <w:spacing w:after="80" w:before="240" w:line="312" w:lineRule="auto"/>
      </w:pPr>
      <w:r>
        <w:rPr>
          <w:rFonts w:ascii="Calibri" w:cs="Calibri" w:eastAsia="Calibri" w:hAnsi="Calibri"/>
          <w:color w:val="1A1A1A"/>
          <w:sz w:val="24"/>
          <w:szCs w:val="24"/>
        </w:rPr>
        <w:t xml:space="preserve">4.1 Archive Contents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Every ratified version of the Constitution, indexed by version number and SHA-256 hash</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Every ratified amendment, with full CEP-1 pipeline records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Every withdrawn or rejected amendment proposal, with stage-of-withdrawal</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Provision Lifecycle Registry, historical states included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All Interpretation Drift Reports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All Violation Pattern Reports</w:t>
      </w:r>
    </w:p>
    <w:p>
      <w:pPr>
        <w:pStyle w:val="Heading3"/>
        <w:spacing w:after="80" w:before="240" w:line="312" w:lineRule="auto"/>
      </w:pPr>
      <w:r>
        <w:rPr>
          <w:rFonts w:ascii="Calibri" w:cs="Calibri" w:eastAsia="Calibri" w:hAnsi="Calibri"/>
          <w:color w:val="1A1A1A"/>
          <w:sz w:val="24"/>
          <w:szCs w:val="24"/>
        </w:rPr>
        <w:t xml:space="preserve">4.2 Archive Properties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4%"/>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Property</w:t>
            </w:r>
          </w:p>
        </w:tc>
        <w:tc>
          <w:tcPr>
            <w:tcW w:type="pct" w:w="76%"/>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Specification</w:t>
            </w:r>
          </w:p>
        </w:tc>
      </w:tr>
      <w:tr>
        <w:trPr>
          <w:tblHeader w:val="false"/>
        </w:trPr>
        <w:tc>
          <w:tcPr>
            <w:tcW w:type="pct" w:w="2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Immutable</w:t>
            </w:r>
          </w:p>
        </w:tc>
        <w:tc>
          <w:tcPr>
            <w:tcW w:type="pct" w:w="7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archive entry may be modified or deleted</w:t>
            </w:r>
          </w:p>
        </w:tc>
      </w:tr>
      <w:tr>
        <w:trPr>
          <w:tblHeader w:val="false"/>
        </w:trPr>
        <w:tc>
          <w:tcPr>
            <w:tcW w:type="pct" w:w="2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Cryptographically Sealed</w:t>
            </w:r>
          </w:p>
        </w:tc>
        <w:tc>
          <w:tcPr>
            <w:tcW w:type="pct" w:w="7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Each entry carries a SHA-256 hash and is sealed into the Merkle-chain Pattern Ledger</w:t>
            </w:r>
          </w:p>
        </w:tc>
      </w:tr>
      <w:tr>
        <w:trPr>
          <w:tblHeader w:val="false"/>
        </w:trPr>
        <w:tc>
          <w:tcPr>
            <w:tcW w:type="pct" w:w="2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Permanently Retained</w:t>
            </w:r>
          </w:p>
        </w:tc>
        <w:tc>
          <w:tcPr>
            <w:tcW w:type="pct" w:w="7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archive entry has an expiry date</w:t>
            </w:r>
          </w:p>
        </w:tc>
      </w:tr>
      <w:tr>
        <w:trPr>
          <w:tblHeader w:val="false"/>
        </w:trPr>
        <w:tc>
          <w:tcPr>
            <w:tcW w:type="pct" w:w="2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Publicly Accessible</w:t>
            </w:r>
          </w:p>
        </w:tc>
        <w:tc>
          <w:tcPr>
            <w:tcW w:type="pct" w:w="7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Accessible to all organs and authorized principals; no archive entry is restricted after ratification</w:t>
            </w:r>
          </w:p>
        </w:tc>
      </w:tr>
    </w:tbl>
    <w:p>
      <w:pPr>
        <w:spacing w:after="200" w:before="0"/>
      </w:pPr>
    </w:p>
    <w:p>
      <w:pPr>
        <w:pStyle w:val="Heading3"/>
        <w:spacing w:after="80" w:before="240" w:line="312" w:lineRule="auto"/>
      </w:pPr>
      <w:r>
        <w:rPr>
          <w:rFonts w:ascii="Calibri" w:cs="Calibri" w:eastAsia="Calibri" w:hAnsi="Calibri"/>
          <w:color w:val="1A1A1A"/>
          <w:sz w:val="24"/>
          <w:szCs w:val="24"/>
        </w:rPr>
        <w:t xml:space="preserve">4.3 Archive Access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Archive entries are accessible via the Soma Bus topic: </w:t>
      </w:r>
      <w:r>
        <w:rPr>
          <w:rFonts w:ascii="Courier New" w:cs="Courier New" w:eastAsia="Courier New" w:hAnsi="Courier New"/>
          <w:b w:val="false"/>
          <w:bCs w:val="false"/>
          <w:i w:val="false"/>
          <w:iCs w:val="false"/>
          <w:color w:val="000000"/>
          <w:sz w:val="20"/>
          <w:szCs w:val="20"/>
          <w:shd w:fill="F3F4F6" w:color="auto" w:val="clear"/>
        </w:rPr>
        <w:t xml:space="preserve">soma.constitution.archive_query</w:t>
      </w:r>
      <w:r>
        <w:rPr>
          <w:rFonts w:ascii="Calibri" w:cs="Calibri" w:eastAsia="Calibri" w:hAnsi="Calibri"/>
          <w:b w:val="false"/>
          <w:bCs w:val="false"/>
          <w:i w:val="false"/>
          <w:iCs w:val="false"/>
          <w:strike w:val="false"/>
          <w:color w:val="000000"/>
          <w:sz w:val="22"/>
          <w:szCs w:val="22"/>
        </w:rPr>
        <w:t xml:space="preserve">. Responses include the full requested record including its Merkle-chain proof of integrity.</w:t>
      </w:r>
    </w:p>
    <w:p>
      <w:pPr>
        <w:pBdr>
          <w:bottom w:val="single" w:color="000000" w:sz="6"/>
        </w:pBdr>
        <w:spacing w:after="240" w:before="240"/>
      </w:pPr>
    </w:p>
    <w:p>
      <w:pPr>
        <w:spacing w:after="60" w:before="360" w:line="360" w:lineRule="auto"/>
      </w:pPr>
      <w:r>
        <w:rPr>
          <w:rFonts w:ascii="Calibri" w:cs="Calibri" w:eastAsia="Calibri" w:hAnsi="Calibri"/>
          <w:b/>
          <w:bCs/>
          <w:i w:val="false"/>
          <w:iCs w:val="false"/>
          <w:strike w:val="false"/>
          <w:color w:val="2B5797"/>
          <w:spacing w:val="20"/>
          <w:sz w:val="18"/>
          <w:szCs w:val="18"/>
        </w:rPr>
        <w:t xml:space="preserve">SECTION 5</w:t>
      </w:r>
    </w:p>
    <w:p>
      <w:pPr>
        <w:pStyle w:val="Heading2"/>
        <w:spacing w:after="120" w:before="360" w:line="312" w:lineRule="auto"/>
      </w:pPr>
      <w:r>
        <w:rPr>
          <w:rFonts w:ascii="Calibri" w:cs="Calibri" w:eastAsia="Calibri" w:hAnsi="Calibri"/>
          <w:color w:val="1A1A1A"/>
          <w:sz w:val="30"/>
          <w:szCs w:val="30"/>
        </w:rPr>
        <w:t xml:space="preserve">Soma Bus Integration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CEP-3 adds the following Soma Bus topics to the constitutional observability infrastructure.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20%"/>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Topic</w:t>
            </w:r>
          </w:p>
        </w:tc>
        <w:tc>
          <w:tcPr>
            <w:tcW w:type="pct" w:w="16%"/>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Emitting Organ</w:t>
            </w:r>
          </w:p>
        </w:tc>
        <w:tc>
          <w:tcPr>
            <w:tcW w:type="pct" w:w="20%"/>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Subscribing Organs</w:t>
            </w:r>
          </w:p>
        </w:tc>
        <w:tc>
          <w:tcPr>
            <w:tcW w:type="pct" w:w="32%"/>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Payload Fields</w:t>
            </w:r>
          </w:p>
        </w:tc>
        <w:tc>
          <w:tcPr>
            <w:tcW w:type="pct" w:w="12%"/>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Retention</w:t>
            </w:r>
          </w:p>
        </w:tc>
      </w:tr>
      <w:tr>
        <w:trPr>
          <w:tblHeader w:val="false"/>
        </w:trPr>
        <w:tc>
          <w:tcPr>
            <w:tcW w:type="pct" w:w="2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soma.constitution.provision_heat_map</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Organ 03 (Constitution)</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CS-12, Memory</w:t>
            </w:r>
          </w:p>
        </w:tc>
        <w:tc>
          <w:tcPr>
            <w:tcW w:type="pct" w:w="32%"/>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{provision_id, frequency_30d, frequency_90d, frequency_365d, timestamp}</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 year</w:t>
            </w:r>
          </w:p>
        </w:tc>
      </w:tr>
      <w:tr>
        <w:trPr>
          <w:tblHeader w:val="false"/>
        </w:trPr>
        <w:tc>
          <w:tcPr>
            <w:tcW w:type="pct" w:w="2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soma.constitution.violation_pattern</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Organ 03 (Constitution)</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CS-01, CS-12, Memory</w:t>
            </w:r>
          </w:p>
        </w:tc>
        <w:tc>
          <w:tcPr>
            <w:tcW w:type="pct" w:w="32%"/>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{provision_id, organ_id, pattern_type, severity, count, timestamp}</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 years</w:t>
            </w:r>
          </w:p>
        </w:tc>
      </w:tr>
      <w:tr>
        <w:trPr>
          <w:tblHeader w:val="false"/>
        </w:trPr>
        <w:tc>
          <w:tcPr>
            <w:tcW w:type="pct" w:w="2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soma.constitution.pipeline_health</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Organ 03 (Constitution)</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CS-01, CS-12</w:t>
            </w:r>
          </w:p>
        </w:tc>
        <w:tc>
          <w:tcPr>
            <w:tcW w:type="pct" w:w="32%"/>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{stage, metric, value, threshold, status, timestamp}</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 year</w:t>
            </w:r>
          </w:p>
        </w:tc>
      </w:tr>
      <w:tr>
        <w:trPr>
          <w:tblHeader w:val="false"/>
        </w:trPr>
        <w:tc>
          <w:tcPr>
            <w:tcW w:type="pct" w:w="2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soma.constitution.pressure_index</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Organ 03 (Constitution)</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CS-01, CS-11, CS-12</w:t>
            </w:r>
          </w:p>
        </w:tc>
        <w:tc>
          <w:tcPr>
            <w:tcW w:type="pct" w:w="32%"/>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{provision_id, pressure_score, proposal_count, timestamp}</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 year</w:t>
            </w:r>
          </w:p>
        </w:tc>
      </w:tr>
      <w:tr>
        <w:trPr>
          <w:tblHeader w:val="false"/>
        </w:trPr>
        <w:tc>
          <w:tcPr>
            <w:tcW w:type="pct" w:w="2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soma.constitution.drift_alert</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Organ 03 (Constitution)</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CS-01, CS-11, CS-12, All Principals</w:t>
            </w:r>
          </w:p>
        </w:tc>
        <w:tc>
          <w:tcPr>
            <w:tcW w:type="pct" w:w="32%"/>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{provision_id, drift_score, drift_type, timestamp}</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Permanent</w:t>
            </w:r>
          </w:p>
        </w:tc>
      </w:tr>
      <w:tr>
        <w:trPr>
          <w:tblHeader w:val="false"/>
        </w:trPr>
        <w:tc>
          <w:tcPr>
            <w:tcW w:type="pct" w:w="2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soma.constitution.lifecycle_change</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Organ 03 (Constitution)</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CS-01, CS-12, Memory, All Organs</w:t>
            </w:r>
          </w:p>
        </w:tc>
        <w:tc>
          <w:tcPr>
            <w:tcW w:type="pct" w:w="32%"/>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{provision_id, old_state, new_state, reason, timestamp}</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Permanent</w:t>
            </w:r>
          </w:p>
        </w:tc>
      </w:tr>
    </w:tbl>
    <w:p>
      <w:pPr>
        <w:spacing w:after="200" w:before="0"/>
      </w:pPr>
    </w:p>
    <w:p>
      <w:pPr>
        <w:pBdr>
          <w:bottom w:val="single" w:color="000000" w:sz="6"/>
        </w:pBdr>
        <w:spacing w:after="240" w:before="240"/>
      </w:pPr>
    </w:p>
    <w:p>
      <w:pPr>
        <w:spacing w:after="60" w:before="360" w:line="360" w:lineRule="auto"/>
      </w:pPr>
      <w:r>
        <w:rPr>
          <w:rFonts w:ascii="Calibri" w:cs="Calibri" w:eastAsia="Calibri" w:hAnsi="Calibri"/>
          <w:b/>
          <w:bCs/>
          <w:i w:val="false"/>
          <w:iCs w:val="false"/>
          <w:strike w:val="false"/>
          <w:color w:val="2B5797"/>
          <w:spacing w:val="20"/>
          <w:sz w:val="18"/>
          <w:szCs w:val="18"/>
        </w:rPr>
        <w:t xml:space="preserve">SECTION 6</w:t>
      </w:r>
    </w:p>
    <w:p>
      <w:pPr>
        <w:pStyle w:val="Heading2"/>
        <w:spacing w:after="120" w:before="360" w:line="312" w:lineRule="auto"/>
      </w:pPr>
      <w:r>
        <w:rPr>
          <w:rFonts w:ascii="Calibri" w:cs="Calibri" w:eastAsia="Calibri" w:hAnsi="Calibri"/>
          <w:color w:val="1A1A1A"/>
          <w:sz w:val="30"/>
          <w:szCs w:val="30"/>
        </w:rPr>
        <w:t xml:space="preserve">Constitutional Health Status Contribution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CEP-3 contributes the following dimension to the Constitutional Health Status (CHS) dashboard under the heading </w:t>
      </w:r>
      <w:r>
        <w:rPr>
          <w:rFonts w:ascii="Calibri" w:cs="Calibri" w:eastAsia="Calibri" w:hAnsi="Calibri"/>
          <w:b/>
          <w:bCs/>
          <w:i w:val="false"/>
          <w:iCs w:val="false"/>
          <w:strike w:val="false"/>
          <w:color w:val="000000"/>
          <w:sz w:val="22"/>
          <w:szCs w:val="22"/>
        </w:rPr>
        <w:t xml:space="preserve">Constitutional Observability</w:t>
      </w:r>
      <w:r>
        <w:rPr>
          <w:rFonts w:ascii="Calibri" w:cs="Calibri" w:eastAsia="Calibri" w:hAnsi="Calibri"/>
          <w:b w:val="false"/>
          <w:bCs w:val="false"/>
          <w:i w:val="false"/>
          <w:iCs w:val="false"/>
          <w:strike w:val="false"/>
          <w:color w:val="000000"/>
          <w:sz w:val="22"/>
          <w:szCs w:val="22"/>
        </w:rPr>
        <w:t xml:space="preserve">.</w:t>
      </w:r>
    </w:p>
    <w:p>
      <w:pPr>
        <w:pStyle w:val="Heading3"/>
        <w:spacing w:after="80" w:before="240" w:line="312" w:lineRule="auto"/>
      </w:pPr>
      <w:r>
        <w:rPr>
          <w:rFonts w:ascii="Calibri" w:cs="Calibri" w:eastAsia="Calibri" w:hAnsi="Calibri"/>
          <w:color w:val="1A1A1A"/>
          <w:sz w:val="24"/>
          <w:szCs w:val="24"/>
        </w:rPr>
        <w:t xml:space="preserve">6.1 Sub-Dimensions and Healthy States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6%"/>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Sub-Dimension</w:t>
            </w:r>
          </w:p>
        </w:tc>
        <w:tc>
          <w:tcPr>
            <w:tcW w:type="pct" w:w="74%"/>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Healthy State</w:t>
            </w:r>
          </w:p>
        </w:tc>
      </w:tr>
      <w:tr>
        <w:trPr>
          <w:tblHeader w:val="false"/>
        </w:trPr>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Provision Application</w:t>
            </w:r>
          </w:p>
        </w:tc>
        <w:tc>
          <w:tcPr>
            <w:tcW w:type="pct" w:w="7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provisions have application frequency data; zero-frequency provisions &lt;10%</w:t>
            </w:r>
          </w:p>
        </w:tc>
      </w:tr>
      <w:tr>
        <w:trPr>
          <w:tblHeader w:val="false"/>
        </w:trPr>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Violation Patterns</w:t>
            </w:r>
          </w:p>
        </w:tc>
        <w:tc>
          <w:tcPr>
            <w:tcW w:type="pct" w:w="7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escalating or distributed patterns active</w:t>
            </w:r>
          </w:p>
        </w:tc>
      </w:tr>
      <w:tr>
        <w:trPr>
          <w:tblHeader w:val="false"/>
        </w:trPr>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Pipeline Health</w:t>
            </w:r>
          </w:p>
        </w:tc>
        <w:tc>
          <w:tcPr>
            <w:tcW w:type="pct" w:w="7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pipeline metrics within healthy range</w:t>
            </w:r>
          </w:p>
        </w:tc>
      </w:tr>
      <w:tr>
        <w:trPr>
          <w:tblHeader w:val="false"/>
        </w:trPr>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Provision Pressure</w:t>
            </w:r>
          </w:p>
        </w:tc>
        <w:tc>
          <w:tcPr>
            <w:tcW w:type="pct" w:w="7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provisions in critical pressure state</w:t>
            </w:r>
          </w:p>
        </w:tc>
      </w:tr>
      <w:tr>
        <w:trPr>
          <w:tblHeader w:val="false"/>
        </w:trPr>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Interpretation Drift</w:t>
            </w:r>
          </w:p>
        </w:tc>
        <w:tc>
          <w:tcPr>
            <w:tcW w:type="pct" w:w="7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provisions at Drift Score &lt;26; no Score 51+ alerts active</w:t>
            </w:r>
          </w:p>
        </w:tc>
      </w:tr>
      <w:tr>
        <w:trPr>
          <w:tblHeader w:val="false"/>
        </w:trPr>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Lifecycle Registry</w:t>
            </w:r>
          </w:p>
        </w:tc>
        <w:tc>
          <w:tcPr>
            <w:tcW w:type="pct" w:w="7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provisions in a known lifecycle state; no unresolved lifecycle conflicts</w:t>
            </w:r>
          </w:p>
        </w:tc>
      </w:tr>
    </w:tbl>
    <w:p>
      <w:pPr>
        <w:spacing w:after="200" w:before="0"/>
      </w:pPr>
    </w:p>
    <w:p>
      <w:pPr>
        <w:pStyle w:val="Heading3"/>
        <w:spacing w:after="80" w:before="240" w:line="312" w:lineRule="auto"/>
      </w:pPr>
      <w:r>
        <w:rPr>
          <w:rFonts w:ascii="Calibri" w:cs="Calibri" w:eastAsia="Calibri" w:hAnsi="Calibri"/>
          <w:color w:val="1A1A1A"/>
          <w:sz w:val="24"/>
          <w:szCs w:val="24"/>
        </w:rPr>
        <w:t xml:space="preserve">6.2 Aggregate CHS Status Rules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5%"/>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Aggregate Status</w:t>
            </w:r>
          </w:p>
        </w:tc>
        <w:tc>
          <w:tcPr>
            <w:tcW w:type="pct" w:w="85%"/>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Condition</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Healthy</w:t>
            </w:r>
          </w:p>
        </w:tc>
        <w:tc>
          <w:tcPr>
            <w:tcW w:type="pct" w:w="8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sub-dimensions in healthy state</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Warning</w:t>
            </w:r>
          </w:p>
        </w:tc>
        <w:tc>
          <w:tcPr>
            <w:tcW w:type="pct" w:w="8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One or more sub-dimensions in warning range</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Critical</w:t>
            </w:r>
          </w:p>
        </w:tc>
        <w:tc>
          <w:tcPr>
            <w:tcW w:type="pct" w:w="8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Any sub-dimension in critical range; any Drift Score 51+; any distributed violation pattern</w:t>
            </w:r>
          </w:p>
        </w:tc>
      </w:tr>
    </w:tbl>
    <w:p>
      <w:pPr>
        <w:spacing w:after="200" w:before="0"/>
      </w:pPr>
    </w:p>
    <w:p>
      <w:pPr>
        <w:pBdr>
          <w:bottom w:val="single" w:color="000000" w:sz="6"/>
        </w:pBdr>
        <w:spacing w:after="240" w:before="240"/>
      </w:pPr>
    </w:p>
    <w:p>
      <w:pPr>
        <w:spacing w:after="60" w:before="360" w:line="360" w:lineRule="auto"/>
      </w:pPr>
      <w:r>
        <w:rPr>
          <w:rFonts w:ascii="Calibri" w:cs="Calibri" w:eastAsia="Calibri" w:hAnsi="Calibri"/>
          <w:b/>
          <w:bCs/>
          <w:i w:val="false"/>
          <w:iCs w:val="false"/>
          <w:strike w:val="false"/>
          <w:color w:val="2B5797"/>
          <w:spacing w:val="20"/>
          <w:sz w:val="18"/>
          <w:szCs w:val="18"/>
        </w:rPr>
        <w:t xml:space="preserve">SECTION 7</w:t>
      </w:r>
    </w:p>
    <w:p>
      <w:pPr>
        <w:pStyle w:val="Heading2"/>
        <w:spacing w:after="120" w:before="360" w:line="312" w:lineRule="auto"/>
      </w:pPr>
      <w:r>
        <w:rPr>
          <w:rFonts w:ascii="Calibri" w:cs="Calibri" w:eastAsia="Calibri" w:hAnsi="Calibri"/>
          <w:color w:val="1A1A1A"/>
          <w:sz w:val="30"/>
          <w:szCs w:val="30"/>
        </w:rPr>
        <w:t xml:space="preserve">Relationship to Other Specifications</w:t>
      </w:r>
    </w:p>
    <w:p>
      <w:pPr>
        <w:pStyle w:val="Heading3"/>
        <w:spacing w:after="80" w:before="240" w:line="312" w:lineRule="auto"/>
      </w:pPr>
      <w:r>
        <w:rPr>
          <w:rFonts w:ascii="Calibri" w:cs="Calibri" w:eastAsia="Calibri" w:hAnsi="Calibri"/>
          <w:color w:val="1A1A1A"/>
          <w:sz w:val="24"/>
          <w:szCs w:val="24"/>
        </w:rPr>
        <w:t xml:space="preserve">7.1 CEP-1</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CEP-3 observability signals feed into CEP-1 Stage 1 (Evidence Collection). Provision Pressure Index, Violation Patterns, and Interpretation Drift Reports are valid evidence types for initiating a CEP-1 amendment proposal.</w:t>
      </w:r>
    </w:p>
    <w:p>
      <w:pPr>
        <w:pStyle w:val="Heading3"/>
        <w:spacing w:after="80" w:before="240" w:line="312" w:lineRule="auto"/>
      </w:pPr>
      <w:r>
        <w:rPr>
          <w:rFonts w:ascii="Calibri" w:cs="Calibri" w:eastAsia="Calibri" w:hAnsi="Calibri"/>
          <w:color w:val="1A1A1A"/>
          <w:sz w:val="24"/>
          <w:szCs w:val="24"/>
        </w:rPr>
        <w:t xml:space="preserve">7.2 CEP-2</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CEP-3 Provision Application Frequency data informs CEP-2 classification by identifying which provisions are actively operative, helping evaluators understand the impact surface of proposed changes.</w:t>
      </w:r>
    </w:p>
    <w:p>
      <w:pPr>
        <w:pStyle w:val="Heading3"/>
        <w:spacing w:after="80" w:before="240" w:line="312" w:lineRule="auto"/>
      </w:pPr>
      <w:r>
        <w:rPr>
          <w:rFonts w:ascii="Calibri" w:cs="Calibri" w:eastAsia="Calibri" w:hAnsi="Calibri"/>
          <w:color w:val="1A1A1A"/>
          <w:sz w:val="24"/>
          <w:szCs w:val="24"/>
        </w:rPr>
        <w:t xml:space="preserve">7.3 CEP-4</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CEP-3 Interpretation Drift data enriches CEP-4 dependency analysis by identifying provisions whose operational meaning has diverged from their textual meaning — a class of dependency invisible to purely textual analysis.</w:t>
      </w:r>
    </w:p>
    <w:p>
      <w:pPr>
        <w:pStyle w:val="Heading3"/>
        <w:spacing w:after="80" w:before="240" w:line="312" w:lineRule="auto"/>
      </w:pPr>
      <w:r>
        <w:rPr>
          <w:rFonts w:ascii="Calibri" w:cs="Calibri" w:eastAsia="Calibri" w:hAnsi="Calibri"/>
          <w:color w:val="1A1A1A"/>
          <w:sz w:val="24"/>
          <w:szCs w:val="24"/>
        </w:rPr>
        <w:t xml:space="preserve">7.4 CS-11</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CEP-3 Violation Pattern data is consumed by CS-11's Alignment Verification System to detect systematic ethical misalignment patterns across organs.</w:t>
      </w:r>
    </w:p>
    <w:p>
      <w:pPr>
        <w:pStyle w:val="Heading3"/>
        <w:spacing w:after="80" w:before="240" w:line="312" w:lineRule="auto"/>
      </w:pPr>
      <w:r>
        <w:rPr>
          <w:rFonts w:ascii="Calibri" w:cs="Calibri" w:eastAsia="Calibri" w:hAnsi="Calibri"/>
          <w:color w:val="1A1A1A"/>
          <w:sz w:val="24"/>
          <w:szCs w:val="24"/>
        </w:rPr>
        <w:t xml:space="preserve">7.5 CS-12</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CEP-3 provides the constitutional observability substrate that CS-12's Tier 3 constitutional drift audit depends on. Without CEP-3, CS-12 Tier 3 cannot detect constitutional drift at the organism level.</w:t>
      </w:r>
    </w:p>
    <w:p>
      <w:pPr>
        <w:pBdr>
          <w:bottom w:val="single" w:color="000000" w:sz="6"/>
        </w:pBdr>
        <w:spacing w:after="240" w:before="240"/>
      </w:pPr>
    </w:p>
    <w:p>
      <w:pPr>
        <w:spacing w:after="60" w:before="360" w:line="360" w:lineRule="auto"/>
      </w:pPr>
      <w:r>
        <w:rPr>
          <w:rFonts w:ascii="Calibri" w:cs="Calibri" w:eastAsia="Calibri" w:hAnsi="Calibri"/>
          <w:b/>
          <w:bCs/>
          <w:i w:val="false"/>
          <w:iCs w:val="false"/>
          <w:strike w:val="false"/>
          <w:color w:val="2B5797"/>
          <w:spacing w:val="20"/>
          <w:sz w:val="18"/>
          <w:szCs w:val="18"/>
        </w:rPr>
        <w:t xml:space="preserve">SECTION 8</w:t>
      </w:r>
    </w:p>
    <w:p>
      <w:pPr>
        <w:pStyle w:val="Heading2"/>
        <w:spacing w:after="120" w:before="360" w:line="312" w:lineRule="auto"/>
      </w:pPr>
      <w:r>
        <w:rPr>
          <w:rFonts w:ascii="Calibri" w:cs="Calibri" w:eastAsia="Calibri" w:hAnsi="Calibri"/>
          <w:color w:val="1A1A1A"/>
          <w:sz w:val="30"/>
          <w:szCs w:val="30"/>
        </w:rPr>
        <w:t xml:space="preserve">Implementation Notes</w:t>
      </w:r>
    </w:p>
    <w:p>
      <w:pPr>
        <w:pStyle w:val="Heading3"/>
        <w:spacing w:after="80" w:before="240" w:line="312" w:lineRule="auto"/>
      </w:pPr>
      <w:r>
        <w:rPr>
          <w:rFonts w:ascii="Calibri" w:cs="Calibri" w:eastAsia="Calibri" w:hAnsi="Calibri"/>
          <w:color w:val="1A1A1A"/>
          <w:sz w:val="24"/>
          <w:szCs w:val="24"/>
        </w:rPr>
        <w:t xml:space="preserve">8.1 Organ 03 Responsibility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CEP-3 places significant new instrumentation responsibility on Organ 03 (The Constitution). Implementation of Organ 03 must include: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six observability dimension processors defined in Section 3</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Archive write capability defined in Section 4</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Soma Bus emitter specifications defined in Section 5</w:t>
      </w:r>
    </w:p>
    <w:p>
      <w:pPr>
        <w:pStyle w:val="Heading3"/>
        <w:spacing w:after="80" w:before="240" w:line="312" w:lineRule="auto"/>
      </w:pPr>
      <w:r>
        <w:rPr>
          <w:rFonts w:ascii="Calibri" w:cs="Calibri" w:eastAsia="Calibri" w:hAnsi="Calibri"/>
          <w:color w:val="1A1A1A"/>
          <w:sz w:val="24"/>
          <w:szCs w:val="24"/>
        </w:rPr>
        <w:t xml:space="preserve">8.2 Retroactive Seeding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Upon first deployment of CEP-3, the Constitutional Archive must be retroactively seeded with all prior constitutional versions, amendment records, and available historical event data. The CDG Seed File specification provides the baseline graph structure for this seeding operation.</w:t>
      </w:r>
    </w:p>
    <w:p>
      <w:pPr>
        <w:pStyle w:val="Heading3"/>
        <w:spacing w:after="80" w:before="240" w:line="312" w:lineRule="auto"/>
      </w:pPr>
      <w:r>
        <w:rPr>
          <w:rFonts w:ascii="Calibri" w:cs="Calibri" w:eastAsia="Calibri" w:hAnsi="Calibri"/>
          <w:color w:val="1A1A1A"/>
          <w:sz w:val="24"/>
          <w:szCs w:val="24"/>
        </w:rPr>
        <w:t xml:space="preserve">8.3 Implementation Independence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EF4FB" w:color="auto" w:val="clear"/>
            <w:tcMar>
              <w:top w:type="dxa" w:w="150"/>
              <w:left w:type="dxa" w:w="210"/>
              <w:bottom w:type="dxa" w:w="150"/>
              <w:right w:type="dxa" w:w="210"/>
            </w:tcMar>
          </w:tcPr>
          <w:p>
            <w:pPr>
              <w:spacing w:after="80" w:line="360" w:lineRule="auto"/>
            </w:pPr>
            <w:r>
              <w:rPr>
                <w:rFonts w:ascii="Calibri" w:cs="Calibri" w:eastAsia="Calibri" w:hAnsi="Calibri"/>
                <w:b/>
                <w:bCs/>
                <w:i w:val="false"/>
                <w:iCs w:val="false"/>
                <w:strike w:val="false"/>
                <w:color w:val="2B5797"/>
                <w:spacing w:val="10"/>
                <w:sz w:val="18"/>
                <w:szCs w:val="18"/>
              </w:rPr>
              <w:t xml:space="preserve">Review Principal Guidance</w:t>
            </w:r>
          </w:p>
          <w:p>
            <w:pPr>
              <w:spacing w:after="0" w:line="360" w:lineRule="auto"/>
            </w:pPr>
            <w:r>
              <w:rPr>
                <w:rFonts w:ascii="Calibri" w:cs="Calibri" w:eastAsia="Calibri" w:hAnsi="Calibri"/>
                <w:b w:val="false"/>
                <w:bCs w:val="false"/>
                <w:i w:val="false"/>
                <w:iCs w:val="false"/>
                <w:strike w:val="false"/>
                <w:color w:val="000000"/>
                <w:sz w:val="22"/>
                <w:szCs w:val="22"/>
              </w:rPr>
              <w:t xml:space="preserve">CEP-3 defines observable requirements and conformance criteria — not implementation strategy. Any compliant implementation of Organ 03 that produces the specified Soma Bus signals, maintains the Constitutional Archive as specified, and contributes the defined CHS sub-dimensions is a conformant CEP-3 implementation regardless of its internal architecture.</w:t>
            </w:r>
          </w:p>
        </w:tc>
      </w:tr>
    </w:tbl>
    <w:p>
      <w:pPr>
        <w:spacing w:after="240" w:before="0"/>
      </w:pPr>
    </w:p>
    <w:p>
      <w:pPr>
        <w:pBdr>
          <w:bottom w:val="single" w:color="000000" w:sz="6"/>
        </w:pBdr>
        <w:spacing w:after="240" w:before="240"/>
      </w:pPr>
    </w:p>
    <w:p>
      <w:pPr>
        <w:spacing w:after="60" w:before="360" w:line="360" w:lineRule="auto"/>
      </w:pPr>
      <w:r>
        <w:rPr>
          <w:rFonts w:ascii="Calibri" w:cs="Calibri" w:eastAsia="Calibri" w:hAnsi="Calibri"/>
          <w:b/>
          <w:bCs/>
          <w:i w:val="false"/>
          <w:iCs w:val="false"/>
          <w:strike w:val="false"/>
          <w:color w:val="2B5797"/>
          <w:spacing w:val="20"/>
          <w:sz w:val="18"/>
          <w:szCs w:val="18"/>
        </w:rPr>
        <w:t xml:space="preserve">SECTION 9</w:t>
      </w:r>
    </w:p>
    <w:p>
      <w:pPr>
        <w:pStyle w:val="Heading2"/>
        <w:spacing w:after="120" w:before="360" w:line="312" w:lineRule="auto"/>
      </w:pPr>
      <w:r>
        <w:rPr>
          <w:rFonts w:ascii="Calibri" w:cs="Calibri" w:eastAsia="Calibri" w:hAnsi="Calibri"/>
          <w:color w:val="1A1A1A"/>
          <w:sz w:val="30"/>
          <w:szCs w:val="30"/>
        </w:rPr>
        <w:t xml:space="preserve">Open Questions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questions are unresolved as of this draft and are designated for review during the CEP-1 ratification process.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1"/>
          <w:szCs w:val="21"/>
          <w:shd w:fill="F7FAFD" w:color="auto" w:val="clear"/>
        </w:rPr>
        <w:t xml:space="preserve">How should CEP-3 handle interpretation drift detection in multilingual or multi-context deployments where provision language is translated?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1"/>
          <w:szCs w:val="21"/>
          <w:shd w:fill="F7FAFD" w:color="auto" w:val="clear"/>
        </w:rPr>
        <w:t xml:space="preserve">Should the Provision Pressure Index trigger an automatic CEP-1 Stage 1 at a defined threshold, or remain advisory?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1"/>
          <w:szCs w:val="21"/>
          <w:shd w:fill="F7FAFD" w:color="auto" w:val="clear"/>
        </w:rPr>
        <w:t xml:space="preserve">What is the appropriate retention policy for Violation Pattern data given long-term constitutional drift analysis requirements?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1"/>
          <w:szCs w:val="21"/>
          <w:shd w:fill="F7FAFD" w:color="auto" w:val="clear"/>
        </w:rPr>
        <w:t xml:space="preserve">Should provisions with zero application frequency for a defined period trigger automatic lifecycle review, or remain in Ratified state indefinitely?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1"/>
          <w:szCs w:val="21"/>
          <w:shd w:fill="F7FAFD" w:color="auto" w:val="clear"/>
        </w:rPr>
        <w:t xml:space="preserve">How should CEP-3 observability data be made accessible to federated partner organisms under CS-04?</w:t>
      </w:r>
    </w:p>
    <w:p>
      <w:pPr>
        <w:pBdr>
          <w:bottom w:val="single" w:color="2B5797" w:sz="6"/>
        </w:pBdr>
        <w:spacing w:after="240" w:before="240"/>
      </w:pPr>
    </w:p>
    <w:p>
      <w:pPr>
        <w:spacing w:after="60" w:before="60" w:line="360" w:lineRule="auto"/>
        <w:jc w:val="center"/>
      </w:pPr>
      <w:r>
        <w:rPr>
          <w:rFonts w:ascii="Calibri" w:cs="Calibri" w:eastAsia="Calibri" w:hAnsi="Calibri"/>
          <w:b w:val="false"/>
          <w:bCs w:val="false"/>
          <w:i w:val="false"/>
          <w:iCs w:val="false"/>
          <w:strike w:val="false"/>
          <w:color w:val="000000"/>
          <w:sz w:val="22"/>
          <w:szCs w:val="22"/>
        </w:rPr>
        <w:t xml:space="preserve">Constitutional Engineering Framework  |  CEP-3  |  Draft v1.0  |  July 4, 2026</w:t>
      </w:r>
    </w:p>
    <w:p>
      <w:pPr>
        <w:spacing w:after="60" w:before="60" w:line="360" w:lineRule="auto"/>
        <w:jc w:val="center"/>
      </w:pPr>
      <w:r>
        <w:rPr>
          <w:rFonts w:ascii="Calibri" w:cs="Calibri" w:eastAsia="Calibri" w:hAnsi="Calibri"/>
          <w:b w:val="false"/>
          <w:bCs w:val="false"/>
          <w:i w:val="false"/>
          <w:iCs w:val="false"/>
          <w:strike w:val="false"/>
          <w:color w:val="888888"/>
          <w:sz w:val="22"/>
          <w:szCs w:val="22"/>
        </w:rPr>
        <w:t xml:space="preserve">This document is subject to the CEP-1 amendment process. All provisions herein are draft until ratification.</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vmfcdGZHNJW34j8hFkb1U</dc:title>
  <dc:creator>Un-named</dc:creator>
  <dc:description>Generated document</dc:description>
  <cp:lastModifiedBy>Un-named</cp:lastModifiedBy>
  <cp:revision>1</cp:revision>
  <dcterms:created xsi:type="dcterms:W3CDTF">2026-09-19T12:06:08.955Z</dcterms:created>
  <dcterms:modified xsi:type="dcterms:W3CDTF">2026-09-19T12:06:08.955Z</dcterms:modified>
</cp:coreProperties>
</file>

<file path=docProps/custom.xml><?xml version="1.0" encoding="utf-8"?>
<Properties xmlns="http://schemas.openxmlformats.org/officeDocument/2006/custom-properties" xmlns:vt="http://schemas.openxmlformats.org/officeDocument/2006/docPropsVTypes"/>
</file>