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28"/>
        </w:rPr>
        <w:t>CONSTITUTIONAL ENGINEERING PROPOSAL</w:t>
      </w:r>
    </w:p>
    <w:p>
      <w:pPr>
        <w:spacing w:after="80"/>
      </w:pPr>
      <w:r>
        <w:rPr>
          <w:b/>
          <w:color w:val="1F3A5F"/>
          <w:sz w:val="28"/>
        </w:rPr>
        <w:t>CEP-4: Constitutional Dependency Graph</w:t>
      </w:r>
    </w:p>
    <w:p>
      <w:r>
        <w:rPr>
          <w:b w:val="0"/>
          <w:i/>
        </w:rPr>
        <w:t>Specification for the Mapping, Analysis, and Maintenance of Constitutional Dependencies</w:t>
      </w:r>
    </w:p>
    <w:tbl>
      <w:tblPr>
        <w:tblStyle w:val="TableGrid"/>
        <w:tblW w:type="auto" w:w="0"/>
        <w:tblLook w:firstColumn="1" w:firstRow="1" w:lastColumn="0" w:lastRow="0" w:noHBand="0" w:noVBand="1" w:val="04A0"/>
      </w:tblPr>
      <w:tblGrid>
        <w:gridCol w:w="4824"/>
        <w:gridCol w:w="4824"/>
      </w:tblGrid>
      <w:tr>
        <w:tc>
          <w:tcPr>
            <w:tcW w:type="dxa" w:w="2304"/>
          </w:tcPr>
          <w:p>
            <w:r/>
            <w:r>
              <w:rPr>
                <w:b/>
              </w:rPr>
              <w:t>Field</w:t>
            </w:r>
          </w:p>
        </w:tc>
        <w:tc>
          <w:tcPr>
            <w:tcW w:type="dxa" w:w="7056"/>
          </w:tcPr>
          <w:p>
            <w:r/>
            <w:r>
              <w:rPr>
                <w:b/>
              </w:rPr>
              <w:t>Value</w:t>
            </w:r>
          </w:p>
        </w:tc>
      </w:tr>
      <w:tr>
        <w:tc>
          <w:tcPr>
            <w:tcW w:type="dxa" w:w="2304"/>
          </w:tcPr>
          <w:p>
            <w:r>
              <w:t>CEP Number</w:t>
            </w:r>
          </w:p>
        </w:tc>
        <w:tc>
          <w:tcPr>
            <w:tcW w:type="dxa" w:w="7056"/>
          </w:tcPr>
          <w:p>
            <w:r>
              <w:t>CEP-4</w:t>
            </w:r>
          </w:p>
        </w:tc>
      </w:tr>
      <w:tr>
        <w:tc>
          <w:tcPr>
            <w:tcW w:type="dxa" w:w="2304"/>
          </w:tcPr>
          <w:p>
            <w:r>
              <w:t>Title</w:t>
            </w:r>
          </w:p>
        </w:tc>
        <w:tc>
          <w:tcPr>
            <w:tcW w:type="dxa" w:w="7056"/>
          </w:tcPr>
          <w:p>
            <w:r>
              <w:t>Constitutional Dependency Graph</w:t>
            </w:r>
          </w:p>
        </w:tc>
      </w:tr>
      <w:tr>
        <w:tc>
          <w:tcPr>
            <w:tcW w:type="dxa" w:w="2304"/>
          </w:tcPr>
          <w:p>
            <w:r>
              <w:t>Status</w:t>
            </w:r>
          </w:p>
        </w:tc>
        <w:tc>
          <w:tcPr>
            <w:tcW w:type="dxa" w:w="7056"/>
          </w:tcPr>
          <w:p>
            <w:r>
              <w:t>Draft</w:t>
            </w:r>
          </w:p>
        </w:tc>
      </w:tr>
      <w:tr>
        <w:tc>
          <w:tcPr>
            <w:tcW w:type="dxa" w:w="2304"/>
          </w:tcPr>
          <w:p>
            <w:r>
              <w:t>Version</w:t>
            </w:r>
          </w:p>
        </w:tc>
        <w:tc>
          <w:tcPr>
            <w:tcW w:type="dxa" w:w="7056"/>
          </w:tcPr>
          <w:p>
            <w:r>
              <w:t>1.0</w:t>
            </w:r>
          </w:p>
        </w:tc>
      </w:tr>
      <w:tr>
        <w:tc>
          <w:tcPr>
            <w:tcW w:type="dxa" w:w="2304"/>
          </w:tcPr>
          <w:p>
            <w:r>
              <w:t>Date</w:t>
            </w:r>
          </w:p>
        </w:tc>
        <w:tc>
          <w:tcPr>
            <w:tcW w:type="dxa" w:w="7056"/>
          </w:tcPr>
          <w:p>
            <w:r>
              <w:t>July 4, 2026</w:t>
            </w:r>
          </w:p>
        </w:tc>
      </w:tr>
      <w:tr>
        <w:tc>
          <w:tcPr>
            <w:tcW w:type="dxa" w:w="2304"/>
          </w:tcPr>
          <w:p>
            <w:r>
              <w:t>Relates To</w:t>
            </w:r>
          </w:p>
        </w:tc>
        <w:tc>
          <w:tcPr>
            <w:tcW w:type="dxa" w:w="7056"/>
          </w:tcPr>
          <w:p>
            <w:r>
              <w:t>CEP-1, CEP-2, CEP-3, CDG Seed File, CS-11, CS-12</w:t>
            </w:r>
          </w:p>
        </w:tc>
      </w:tr>
      <w:tr>
        <w:tc>
          <w:tcPr>
            <w:tcW w:type="dxa" w:w="2304"/>
          </w:tcPr>
          <w:p>
            <w:r>
              <w:t>Abstract</w:t>
            </w:r>
          </w:p>
        </w:tc>
        <w:tc>
          <w:tcPr>
            <w:tcW w:type="dxa" w:w="7056"/>
          </w:tcPr>
          <w:p>
            <w:r>
              <w:t>CEP-4 defines the analytical procedure and data structure for mapping all dependencies — textual, functional, behavioral, and emergent — between the provisions of the Constitution. The Constitutional Dependency Graph (CDG) makes every dependency visible before ratification rather than after implementation. It produces the tiered Impact Surface Report (Tiers 1–4) required at CEP-1 Stage 5, extends Replay Verification and EGL-1 coverage at Stages 3 and 4, and mandates a grounded update discipline that keeps the graph current with the ratified Constitution. Tier 4 emergent analysis is mandatory before ratification may proceed.</w:t>
            </w:r>
          </w:p>
        </w:tc>
      </w:tr>
      <w:tr>
        <w:tc>
          <w:tcPr>
            <w:tcW w:type="dxa" w:w="2304"/>
          </w:tcPr>
          <w:p>
            <w:r>
              <w:t>Scope Boundary</w:t>
            </w:r>
          </w:p>
        </w:tc>
        <w:tc>
          <w:tcPr>
            <w:tcW w:type="dxa" w:w="7056"/>
          </w:tcPr>
          <w:p>
            <w:r>
              <w:t>CEP-4 governs the structure, construction, and maintenance of the dependency graph and the Impact Surface Report. It does not govern constitutional content, boundary classification (CEP-2), or observability signals (CEP-3). The CDG Seed File implements this specification; CEP-4 is the normative authority for all CDG structural decisions.</w:t>
            </w:r>
          </w:p>
        </w:tc>
      </w:tr>
    </w:tbl>
    <w:p>
      <w:pPr>
        <w:spacing w:after="80"/>
      </w:pPr>
      <w:r>
        <w:rPr>
          <w:b/>
          <w:color w:val="1F3A5F"/>
          <w:sz w:val="28"/>
        </w:rPr>
        <w:t>SECTION 1 — PURPOSE AND SCOPE</w:t>
      </w:r>
    </w:p>
    <w:p>
      <w:pPr>
        <w:spacing w:before="120" w:after="40"/>
      </w:pPr>
      <w:r>
        <w:rPr>
          <w:b/>
          <w:sz w:val="23"/>
        </w:rPr>
        <w:t>1.1 The Visibility Gap</w:t>
      </w:r>
    </w:p>
    <w:p>
      <w:r>
        <w:rPr>
          <w:b w:val="0"/>
          <w:i w:val="0"/>
        </w:rPr>
        <w:t>An amendment may be well-constructed, correctly classified, and properly ratified — and still produce unanticipated consequences in provisions whose relationship to the amended provision was not visible at the time of ratification. Textual references capture only the fraction of constitutional coupling that is explicit. Definitions migrate, behaviors shift, and interactions emerge between provisions that never mention one another. CEP-4 makes all of these visible before ratification, not after implementation.</w:t>
      </w:r>
    </w:p>
    <w:p>
      <w:pPr>
        <w:spacing w:before="120" w:after="40"/>
      </w:pPr>
      <w:r>
        <w:rPr>
          <w:b/>
          <w:sz w:val="23"/>
        </w:rPr>
        <w:t>1.2 What the CDG Is</w:t>
      </w:r>
    </w:p>
    <w:p>
      <w:r>
        <w:rPr>
          <w:b w:val="0"/>
          <w:i w:val="0"/>
        </w:rPr>
        <w:t>The Constitutional Dependency Graph represents the Constitution as a directed graph: provisions are nodes; confirmed dependency relationships are typed, directed, weighted, and condition-bound edges. The graph is a living instrument maintained across the organism's lifetime, seeded at Constitution v1.0 ratification and versioned with every amendment. It exists to answer one question before any constitutional change: what else does this change touch?</w:t>
      </w:r>
    </w:p>
    <w:p>
      <w:pPr>
        <w:spacing w:before="120" w:after="40"/>
      </w:pPr>
      <w:r>
        <w:rPr>
          <w:b/>
          <w:sz w:val="23"/>
        </w:rPr>
        <w:t>1.3 Scope</w:t>
      </w:r>
    </w:p>
    <w:p>
      <w:r>
        <w:rPr>
          <w:b w:val="0"/>
          <w:i w:val="0"/>
        </w:rPr>
        <w:t>CEP-4 applies to:</w:t>
      </w:r>
    </w:p>
    <w:p>
      <w:pPr>
        <w:pStyle w:val="ListBullet"/>
      </w:pPr>
      <w:r>
        <w:t>All constitutional provisions across all Articles, registered as CDG nodes.</w:t>
      </w:r>
    </w:p>
    <w:p>
      <w:pPr>
        <w:pStyle w:val="ListBullet"/>
      </w:pPr>
      <w:r>
        <w:t>All confirmed dependency relationships, registered as CDG edges in one of the four dependency types.</w:t>
      </w:r>
    </w:p>
    <w:p>
      <w:pPr>
        <w:pStyle w:val="ListBullet"/>
      </w:pPr>
      <w:r>
        <w:t>Every CEP-1 amendment, which must update the graph through the Impact Surface Report and the post-ratification 72-hour update.</w:t>
      </w:r>
    </w:p>
    <w:p>
      <w:pPr>
        <w:pStyle w:val="ListBullet"/>
      </w:pPr>
      <w:r>
        <w:t>Organ-level behavioral modeling required to identify Tier 3 and Tier 4 effects.</w:t>
      </w:r>
    </w:p>
    <w:p>
      <w:pPr>
        <w:pStyle w:val="ListBullet"/>
      </w:pPr>
      <w:r>
        <w:t>All unresolved dependency flags awaiting analysis or resolution.</w:t>
      </w:r>
    </w:p>
    <w:p>
      <w:pPr>
        <w:spacing w:before="120" w:after="40"/>
      </w:pPr>
      <w:r>
        <w:rPr>
          <w:b/>
          <w:sz w:val="23"/>
        </w:rPr>
        <w:t>1.4 Out of Scope</w:t>
      </w:r>
    </w:p>
    <w:p>
      <w:r>
        <w:rPr>
          <w:b w:val="0"/>
          <w:i w:val="0"/>
        </w:rPr>
        <w:t>CEP-4 does not classify changes (CEP-2), does not observe the Constitution (CEP-3), and does not define amendment content or thresholds (CEP-1). It defines how the dependency surface of a change is discovered, represented, and maintained.</w:t>
      </w:r>
    </w:p>
    <w:p>
      <w:pPr>
        <w:spacing w:after="80"/>
      </w:pPr>
      <w:r>
        <w:rPr>
          <w:b/>
          <w:color w:val="1F3A5F"/>
          <w:sz w:val="28"/>
        </w:rPr>
        <w:t>SECTION 2 — FOUNDING PRINCIPLES</w:t>
      </w:r>
    </w:p>
    <w:p>
      <w:pPr>
        <w:spacing w:before="120" w:after="40"/>
      </w:pPr>
      <w:r>
        <w:rPr>
          <w:b/>
          <w:sz w:val="23"/>
        </w:rPr>
        <w:t>2.1 Visibility Before Ratification</w:t>
      </w:r>
    </w:p>
    <w:p>
      <w:r>
        <w:rPr>
          <w:b w:val="0"/>
          <w:i w:val="0"/>
        </w:rPr>
        <w:t>Dependencies are mapped before the amendment is ratified, never discovered after implementation. A dependency discovered post-ratification is a procedural failure, not a contingency.</w:t>
      </w:r>
    </w:p>
    <w:p>
      <w:pPr>
        <w:spacing w:before="120" w:after="40"/>
      </w:pPr>
      <w:r>
        <w:rPr>
          <w:b/>
          <w:sz w:val="23"/>
        </w:rPr>
        <w:t>2.2 Four-Tier Completeness</w:t>
      </w:r>
    </w:p>
    <w:p>
      <w:r>
        <w:rPr>
          <w:b w:val="0"/>
          <w:i w:val="0"/>
        </w:rPr>
        <w:t>The Impact Surface Report covers all four dependency tiers for every ratification candidate. No tier is optional. Tier 4 emergent analysis is mandatory before ratification may proceed.</w:t>
      </w:r>
    </w:p>
    <w:p>
      <w:pPr>
        <w:spacing w:before="120" w:after="40"/>
      </w:pPr>
      <w:r>
        <w:rPr>
          <w:b/>
          <w:sz w:val="23"/>
        </w:rPr>
        <w:t>2.3 Dependency Over Text</w:t>
      </w:r>
    </w:p>
    <w:p>
      <w:r>
        <w:rPr>
          <w:b w:val="0"/>
          <w:i w:val="0"/>
        </w:rPr>
        <w:t>Functional, behavioral, and emergent dependencies carry no less weight than explicit textual references. A provision's behavior can be altered without its text changing; an amendment can produce effects no single provision analysis reveals.</w:t>
      </w:r>
    </w:p>
    <w:p>
      <w:pPr>
        <w:spacing w:before="120" w:after="40"/>
      </w:pPr>
      <w:r>
        <w:rPr>
          <w:b/>
          <w:sz w:val="23"/>
        </w:rPr>
        <w:t>2.4 Traceable Structure</w:t>
      </w:r>
    </w:p>
    <w:p>
      <w:r>
        <w:rPr>
          <w:b w:val="0"/>
          <w:i w:val="0"/>
        </w:rPr>
        <w:t>Every node and every edge is attributable to a CDG version, traceable to the version chain, and sealed into the Merkle-chain Pattern Ledger. The graph is auditable structure, not analysis prose.</w:t>
      </w:r>
    </w:p>
    <w:p>
      <w:pPr>
        <w:spacing w:before="120" w:after="40"/>
      </w:pPr>
      <w:r>
        <w:rPr>
          <w:b/>
          <w:sz w:val="23"/>
        </w:rPr>
        <w:t>2.5 Grounded Maintenance</w:t>
      </w:r>
    </w:p>
    <w:p>
      <w:r>
        <w:rPr>
          <w:b w:val="0"/>
          <w:i w:val="0"/>
        </w:rPr>
        <w:t>The graph must track the ratified Constitution. Every ratification produces a mandatory graph update within 72 hours, sealed into the Constitutional Archive. A graph that lags the Constitution is misleading and is itself a constitutional integrity finding.</w:t>
      </w:r>
    </w:p>
    <w:p>
      <w:pPr>
        <w:spacing w:before="120" w:after="40"/>
      </w:pPr>
      <w:r>
        <w:rPr>
          <w:b/>
          <w:sz w:val="23"/>
        </w:rPr>
        <w:t>2.6 Independence of Analysis</w:t>
      </w:r>
    </w:p>
    <w:p>
      <w:r>
        <w:rPr>
          <w:b w:val="0"/>
          <w:i w:val="0"/>
        </w:rPr>
        <w:t>Dependency analysis shares the independence requirement of CEP-2. The analyst responsible for the Impact Surface Report is independent of the proposing party, and the report is sealed before Stage 5 review.</w:t>
      </w:r>
    </w:p>
    <w:p>
      <w:pPr>
        <w:spacing w:after="80"/>
      </w:pPr>
      <w:r>
        <w:rPr>
          <w:b/>
          <w:color w:val="1F3A5F"/>
          <w:sz w:val="28"/>
        </w:rPr>
        <w:t>SECTION 3 — THE CDG DATA MODEL</w:t>
      </w:r>
    </w:p>
    <w:p>
      <w:pPr>
        <w:spacing w:before="120" w:after="40"/>
      </w:pPr>
      <w:r>
        <w:rPr>
          <w:b/>
          <w:sz w:val="23"/>
        </w:rPr>
        <w:t>3.1 Node Schema</w:t>
      </w:r>
    </w:p>
    <w:p>
      <w:r>
        <w:rPr>
          <w:b w:val="0"/>
          <w:i w:val="0"/>
        </w:rPr>
        <w:t>Each node represents one constitutional provision or structural element.</w:t>
      </w:r>
    </w:p>
    <w:tbl>
      <w:tblPr>
        <w:tblStyle w:val="TableGrid"/>
        <w:tblW w:type="auto" w:w="0"/>
        <w:tblLook w:firstColumn="1" w:firstRow="1" w:lastColumn="0" w:lastRow="0" w:noHBand="0" w:noVBand="1" w:val="04A0"/>
      </w:tblPr>
      <w:tblGrid>
        <w:gridCol w:w="3216"/>
        <w:gridCol w:w="3216"/>
        <w:gridCol w:w="3216"/>
      </w:tblGrid>
      <w:tr>
        <w:tc>
          <w:tcPr>
            <w:tcW w:type="dxa" w:w="2016"/>
          </w:tcPr>
          <w:p>
            <w:r/>
            <w:r>
              <w:rPr>
                <w:b/>
              </w:rPr>
              <w:t>Field</w:t>
            </w:r>
          </w:p>
        </w:tc>
        <w:tc>
          <w:tcPr>
            <w:tcW w:type="dxa" w:w="1584"/>
          </w:tcPr>
          <w:p>
            <w:r/>
            <w:r>
              <w:rPr>
                <w:b/>
              </w:rPr>
              <w:t>Type</w:t>
            </w:r>
          </w:p>
        </w:tc>
        <w:tc>
          <w:tcPr>
            <w:tcW w:type="dxa" w:w="5760"/>
          </w:tcPr>
          <w:p>
            <w:r/>
            <w:r>
              <w:rPr>
                <w:b/>
              </w:rPr>
              <w:t>Description</w:t>
            </w:r>
          </w:p>
        </w:tc>
      </w:tr>
      <w:tr>
        <w:tc>
          <w:tcPr>
            <w:tcW w:type="dxa" w:w="2016"/>
          </w:tcPr>
          <w:p>
            <w:r>
              <w:t>node_id</w:t>
            </w:r>
          </w:p>
        </w:tc>
        <w:tc>
          <w:tcPr>
            <w:tcW w:type="dxa" w:w="1584"/>
          </w:tcPr>
          <w:p>
            <w:r>
              <w:t>string</w:t>
            </w:r>
          </w:p>
        </w:tc>
        <w:tc>
          <w:tcPr>
            <w:tcW w:type="dxa" w:w="5760"/>
          </w:tcPr>
          <w:p>
            <w:r>
              <w:t>Unique identifier (NODE-NNN)</w:t>
            </w:r>
          </w:p>
        </w:tc>
      </w:tr>
      <w:tr>
        <w:tc>
          <w:tcPr>
            <w:tcW w:type="dxa" w:w="2016"/>
          </w:tcPr>
          <w:p>
            <w:r>
              <w:t>provision_ref</w:t>
            </w:r>
          </w:p>
        </w:tc>
        <w:tc>
          <w:tcPr>
            <w:tcW w:type="dxa" w:w="1584"/>
          </w:tcPr>
          <w:p>
            <w:r>
              <w:t>string</w:t>
            </w:r>
          </w:p>
        </w:tc>
        <w:tc>
          <w:tcPr>
            <w:tcW w:type="dxa" w:w="5760"/>
          </w:tcPr>
          <w:p>
            <w:r>
              <w:t>Constitutional article and section reference</w:t>
            </w:r>
          </w:p>
        </w:tc>
      </w:tr>
      <w:tr>
        <w:tc>
          <w:tcPr>
            <w:tcW w:type="dxa" w:w="2016"/>
          </w:tcPr>
          <w:p>
            <w:r>
              <w:t>provision_title</w:t>
            </w:r>
          </w:p>
        </w:tc>
        <w:tc>
          <w:tcPr>
            <w:tcW w:type="dxa" w:w="1584"/>
          </w:tcPr>
          <w:p>
            <w:r>
              <w:t>string</w:t>
            </w:r>
          </w:p>
        </w:tc>
        <w:tc>
          <w:tcPr>
            <w:tcW w:type="dxa" w:w="5760"/>
          </w:tcPr>
          <w:p>
            <w:r>
              <w:t>Human-readable provision name</w:t>
            </w:r>
          </w:p>
        </w:tc>
      </w:tr>
      <w:tr>
        <w:tc>
          <w:tcPr>
            <w:tcW w:type="dxa" w:w="2016"/>
          </w:tcPr>
          <w:p>
            <w:r>
              <w:t>provision_type</w:t>
            </w:r>
          </w:p>
        </w:tc>
        <w:tc>
          <w:tcPr>
            <w:tcW w:type="dxa" w:w="1584"/>
          </w:tcPr>
          <w:p>
            <w:r>
              <w:t>enum</w:t>
            </w:r>
          </w:p>
        </w:tc>
        <w:tc>
          <w:tcPr>
            <w:tcW w:type="dxa" w:w="5760"/>
          </w:tcPr>
          <w:p>
            <w:r>
              <w:t>Interface | Authority | Governance | Meta-Constitutional | Structural | Prohibition | Rights | Emergency</w:t>
            </w:r>
          </w:p>
        </w:tc>
      </w:tr>
      <w:tr>
        <w:tc>
          <w:tcPr>
            <w:tcW w:type="dxa" w:w="2016"/>
          </w:tcPr>
          <w:p>
            <w:r>
              <w:t>organs_affected</w:t>
            </w:r>
          </w:p>
        </w:tc>
        <w:tc>
          <w:tcPr>
            <w:tcW w:type="dxa" w:w="1584"/>
          </w:tcPr>
          <w:p>
            <w:r>
              <w:t>string[]</w:t>
            </w:r>
          </w:p>
        </w:tc>
        <w:tc>
          <w:tcPr>
            <w:tcW w:type="dxa" w:w="5760"/>
          </w:tcPr>
          <w:p>
            <w:r>
              <w:t>Organ(s) to which the provision applies</w:t>
            </w:r>
          </w:p>
        </w:tc>
      </w:tr>
      <w:tr>
        <w:tc>
          <w:tcPr>
            <w:tcW w:type="dxa" w:w="2016"/>
          </w:tcPr>
          <w:p>
            <w:r>
              <w:t>stability_class</w:t>
            </w:r>
          </w:p>
        </w:tc>
        <w:tc>
          <w:tcPr>
            <w:tcW w:type="dxa" w:w="1584"/>
          </w:tcPr>
          <w:p>
            <w:r>
              <w:t>enum</w:t>
            </w:r>
          </w:p>
        </w:tc>
        <w:tc>
          <w:tcPr>
            <w:tcW w:type="dxa" w:w="5760"/>
          </w:tcPr>
          <w:p>
            <w:r>
              <w:t>CORE | STANDARD | AMENDABLE</w:t>
            </w:r>
          </w:p>
        </w:tc>
      </w:tr>
      <w:tr>
        <w:tc>
          <w:tcPr>
            <w:tcW w:type="dxa" w:w="2016"/>
          </w:tcPr>
          <w:p>
            <w:r>
              <w:t>lifecycle_state</w:t>
            </w:r>
          </w:p>
        </w:tc>
        <w:tc>
          <w:tcPr>
            <w:tcW w:type="dxa" w:w="1584"/>
          </w:tcPr>
          <w:p>
            <w:r>
              <w:t>enum</w:t>
            </w:r>
          </w:p>
        </w:tc>
        <w:tc>
          <w:tcPr>
            <w:tcW w:type="dxa" w:w="5760"/>
          </w:tcPr>
          <w:p>
            <w:r>
              <w:t>Ratified | Draft | Deprecated | Suspended</w:t>
            </w:r>
          </w:p>
        </w:tc>
      </w:tr>
    </w:tbl>
    <w:p>
      <w:pPr>
        <w:spacing w:before="120" w:after="40"/>
      </w:pPr>
      <w:r>
        <w:rPr>
          <w:b/>
          <w:sz w:val="23"/>
        </w:rPr>
        <w:t>3.2 Edge Schema</w:t>
      </w:r>
    </w:p>
    <w:p>
      <w:r>
        <w:rPr>
          <w:b w:val="0"/>
          <w:i w:val="0"/>
        </w:rPr>
        <w:t>Each edge represents a confirmed dependency relationship between two provision nodes. An edge without a condition clause is always-active; an edge with a condition clause is active only when its trigger condition is satisfied.</w:t>
      </w:r>
    </w:p>
    <w:tbl>
      <w:tblPr>
        <w:tblStyle w:val="TableGrid"/>
        <w:tblW w:type="auto" w:w="0"/>
        <w:tblLook w:firstColumn="1" w:firstRow="1" w:lastColumn="0" w:lastRow="0" w:noHBand="0" w:noVBand="1" w:val="04A0"/>
      </w:tblPr>
      <w:tblGrid>
        <w:gridCol w:w="3216"/>
        <w:gridCol w:w="3216"/>
        <w:gridCol w:w="3216"/>
      </w:tblGrid>
      <w:tr>
        <w:tc>
          <w:tcPr>
            <w:tcW w:type="dxa" w:w="2016"/>
          </w:tcPr>
          <w:p>
            <w:r/>
            <w:r>
              <w:rPr>
                <w:b/>
              </w:rPr>
              <w:t>Field</w:t>
            </w:r>
          </w:p>
        </w:tc>
        <w:tc>
          <w:tcPr>
            <w:tcW w:type="dxa" w:w="1440"/>
          </w:tcPr>
          <w:p>
            <w:r/>
            <w:r>
              <w:rPr>
                <w:b/>
              </w:rPr>
              <w:t>Type</w:t>
            </w:r>
          </w:p>
        </w:tc>
        <w:tc>
          <w:tcPr>
            <w:tcW w:type="dxa" w:w="5904"/>
          </w:tcPr>
          <w:p>
            <w:r/>
            <w:r>
              <w:rPr>
                <w:b/>
              </w:rPr>
              <w:t>Description</w:t>
            </w:r>
          </w:p>
        </w:tc>
      </w:tr>
      <w:tr>
        <w:tc>
          <w:tcPr>
            <w:tcW w:type="dxa" w:w="2016"/>
          </w:tcPr>
          <w:p>
            <w:r>
              <w:t>edge_id</w:t>
            </w:r>
          </w:p>
        </w:tc>
        <w:tc>
          <w:tcPr>
            <w:tcW w:type="dxa" w:w="1440"/>
          </w:tcPr>
          <w:p>
            <w:r>
              <w:t>string</w:t>
            </w:r>
          </w:p>
        </w:tc>
        <w:tc>
          <w:tcPr>
            <w:tcW w:type="dxa" w:w="5904"/>
          </w:tcPr>
          <w:p>
            <w:r>
              <w:t>Unique identifier (EDGE-NNN)</w:t>
            </w:r>
          </w:p>
        </w:tc>
      </w:tr>
      <w:tr>
        <w:tc>
          <w:tcPr>
            <w:tcW w:type="dxa" w:w="2016"/>
          </w:tcPr>
          <w:p>
            <w:r>
              <w:t>source_node</w:t>
            </w:r>
          </w:p>
        </w:tc>
        <w:tc>
          <w:tcPr>
            <w:tcW w:type="dxa" w:w="1440"/>
          </w:tcPr>
          <w:p>
            <w:r>
              <w:t>node_id</w:t>
            </w:r>
          </w:p>
        </w:tc>
        <w:tc>
          <w:tcPr>
            <w:tcW w:type="dxa" w:w="5904"/>
          </w:tcPr>
          <w:p>
            <w:r>
              <w:t>Originating provision node</w:t>
            </w:r>
          </w:p>
        </w:tc>
      </w:tr>
      <w:tr>
        <w:tc>
          <w:tcPr>
            <w:tcW w:type="dxa" w:w="2016"/>
          </w:tcPr>
          <w:p>
            <w:r>
              <w:t>target_node</w:t>
            </w:r>
          </w:p>
        </w:tc>
        <w:tc>
          <w:tcPr>
            <w:tcW w:type="dxa" w:w="1440"/>
          </w:tcPr>
          <w:p>
            <w:r>
              <w:t>node_id</w:t>
            </w:r>
          </w:p>
        </w:tc>
        <w:tc>
          <w:tcPr>
            <w:tcW w:type="dxa" w:w="5904"/>
          </w:tcPr>
          <w:p>
            <w:r>
              <w:t>Dependent provision node</w:t>
            </w:r>
          </w:p>
        </w:tc>
      </w:tr>
      <w:tr>
        <w:tc>
          <w:tcPr>
            <w:tcW w:type="dxa" w:w="2016"/>
          </w:tcPr>
          <w:p>
            <w:r>
              <w:t>dependency_type</w:t>
            </w:r>
          </w:p>
        </w:tc>
        <w:tc>
          <w:tcPr>
            <w:tcW w:type="dxa" w:w="1440"/>
          </w:tcPr>
          <w:p>
            <w:r>
              <w:t>enum</w:t>
            </w:r>
          </w:p>
        </w:tc>
        <w:tc>
          <w:tcPr>
            <w:tcW w:type="dxa" w:w="5904"/>
          </w:tcPr>
          <w:p>
            <w:r>
              <w:t>Textual | Functional | Behavioral | Meta-Constitutional</w:t>
            </w:r>
          </w:p>
        </w:tc>
      </w:tr>
      <w:tr>
        <w:tc>
          <w:tcPr>
            <w:tcW w:type="dxa" w:w="2016"/>
          </w:tcPr>
          <w:p>
            <w:r>
              <w:t>direction</w:t>
            </w:r>
          </w:p>
        </w:tc>
        <w:tc>
          <w:tcPr>
            <w:tcW w:type="dxa" w:w="1440"/>
          </w:tcPr>
          <w:p>
            <w:r>
              <w:t>enum</w:t>
            </w:r>
          </w:p>
        </w:tc>
        <w:tc>
          <w:tcPr>
            <w:tcW w:type="dxa" w:w="5904"/>
          </w:tcPr>
          <w:p>
            <w:r>
              <w:t>Unidirectional | Bidirectional</w:t>
            </w:r>
          </w:p>
        </w:tc>
      </w:tr>
      <w:tr>
        <w:tc>
          <w:tcPr>
            <w:tcW w:type="dxa" w:w="2016"/>
          </w:tcPr>
          <w:p>
            <w:r>
              <w:t>strength</w:t>
            </w:r>
          </w:p>
        </w:tc>
        <w:tc>
          <w:tcPr>
            <w:tcW w:type="dxa" w:w="1440"/>
          </w:tcPr>
          <w:p>
            <w:r>
              <w:t>enum</w:t>
            </w:r>
          </w:p>
        </w:tc>
        <w:tc>
          <w:tcPr>
            <w:tcW w:type="dxa" w:w="5904"/>
          </w:tcPr>
          <w:p>
            <w:r>
              <w:t>Strong | Moderate | Weak</w:t>
            </w:r>
          </w:p>
        </w:tc>
      </w:tr>
      <w:tr>
        <w:tc>
          <w:tcPr>
            <w:tcW w:type="dxa" w:w="2016"/>
          </w:tcPr>
          <w:p>
            <w:r>
              <w:t>condition</w:t>
            </w:r>
          </w:p>
        </w:tc>
        <w:tc>
          <w:tcPr>
            <w:tcW w:type="dxa" w:w="1440"/>
          </w:tcPr>
          <w:p>
            <w:r>
              <w:t>string</w:t>
            </w:r>
          </w:p>
        </w:tc>
        <w:tc>
          <w:tcPr>
            <w:tcW w:type="dxa" w:w="5904"/>
          </w:tcPr>
          <w:p>
            <w:r>
              <w:t>'Always' or conditional trigger description</w:t>
            </w:r>
          </w:p>
        </w:tc>
      </w:tr>
      <w:tr>
        <w:tc>
          <w:tcPr>
            <w:tcW w:type="dxa" w:w="2016"/>
          </w:tcPr>
          <w:p>
            <w:r>
              <w:t>identified_by</w:t>
            </w:r>
          </w:p>
        </w:tc>
        <w:tc>
          <w:tcPr>
            <w:tcW w:type="dxa" w:w="1440"/>
          </w:tcPr>
          <w:p>
            <w:r>
              <w:t>string</w:t>
            </w:r>
          </w:p>
        </w:tc>
        <w:tc>
          <w:tcPr>
            <w:tcW w:type="dxa" w:w="5904"/>
          </w:tcPr>
          <w:p>
            <w:r>
              <w:t>Analysis method that surfaced this edge</w:t>
            </w:r>
          </w:p>
        </w:tc>
      </w:tr>
    </w:tbl>
    <w:p>
      <w:pPr>
        <w:spacing w:before="120" w:after="40"/>
      </w:pPr>
      <w:r>
        <w:rPr>
          <w:b/>
          <w:sz w:val="23"/>
        </w:rPr>
        <w:t>3.3 Version Chain</w:t>
      </w:r>
    </w:p>
    <w:p>
      <w:r>
        <w:rPr>
          <w:b w:val="0"/>
          <w:i w:val="0"/>
        </w:rPr>
        <w:t>The CDG begins at the CDG Seed File v1.0 (Day 0), sealed at Constitution v1.0 ratification. Every subsequent amendment produces a new CDG version entry. Each version is traceable to the seed via an unbroken hash chain sealed in the Pattern Ledger, per Article IX GOV-07.</w:t>
      </w:r>
    </w:p>
    <w:p>
      <w:pPr>
        <w:spacing w:before="120" w:after="40"/>
      </w:pPr>
      <w:r>
        <w:rPr>
          <w:b/>
          <w:sz w:val="23"/>
        </w:rPr>
        <w:t>3.4 Consistency With the Seed File</w:t>
      </w:r>
    </w:p>
    <w:p>
      <w:r>
        <w:rPr>
          <w:b w:val="0"/>
          <w:i w:val="0"/>
        </w:rPr>
        <w:t>The CDG Seed File implements this data model. Node and edge schemas herein are normative; the Seed File's Phase 1 registrations (NODE-001 through NODE-106, EDGE-001 through EDGE-015) conform to them. Any conflict between this specification and the Seed File is resolved in favor of this specification.</w:t>
      </w:r>
    </w:p>
    <w:p>
      <w:pPr>
        <w:spacing w:after="80"/>
      </w:pPr>
      <w:r>
        <w:rPr>
          <w:b/>
          <w:color w:val="1F3A5F"/>
          <w:sz w:val="28"/>
        </w:rPr>
        <w:t>SECTION 4 — THE FOUR-TYPE DEPENDENCY TAXONOMY</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720"/>
          </w:tcPr>
          <w:p>
            <w:r/>
            <w:r>
              <w:rPr>
                <w:b/>
              </w:rPr>
              <w:t>Type</w:t>
            </w:r>
          </w:p>
        </w:tc>
        <w:tc>
          <w:tcPr>
            <w:tcW w:type="dxa" w:w="1872"/>
          </w:tcPr>
          <w:p>
            <w:r/>
            <w:r>
              <w:rPr>
                <w:b/>
              </w:rPr>
              <w:t>Name</w:t>
            </w:r>
          </w:p>
        </w:tc>
        <w:tc>
          <w:tcPr>
            <w:tcW w:type="dxa" w:w="3744"/>
          </w:tcPr>
          <w:p>
            <w:r/>
            <w:r>
              <w:rPr>
                <w:b/>
              </w:rPr>
              <w:t>Characteristic</w:t>
            </w:r>
          </w:p>
        </w:tc>
        <w:tc>
          <w:tcPr>
            <w:tcW w:type="dxa" w:w="1008"/>
          </w:tcPr>
          <w:p>
            <w:r/>
            <w:r>
              <w:rPr>
                <w:b/>
              </w:rPr>
              <w:t>Risk Level</w:t>
            </w:r>
          </w:p>
        </w:tc>
        <w:tc>
          <w:tcPr>
            <w:tcW w:type="dxa" w:w="2448"/>
          </w:tcPr>
          <w:p>
            <w:r/>
            <w:r>
              <w:rPr>
                <w:b/>
              </w:rPr>
              <w:t>Detection Method</w:t>
            </w:r>
          </w:p>
        </w:tc>
      </w:tr>
      <w:tr>
        <w:tc>
          <w:tcPr>
            <w:tcW w:type="dxa" w:w="720"/>
          </w:tcPr>
          <w:p>
            <w:r>
              <w:t>T1</w:t>
            </w:r>
          </w:p>
        </w:tc>
        <w:tc>
          <w:tcPr>
            <w:tcW w:type="dxa" w:w="1872"/>
          </w:tcPr>
          <w:p>
            <w:r>
              <w:t>Textual Dependencies</w:t>
            </w:r>
          </w:p>
        </w:tc>
        <w:tc>
          <w:tcPr>
            <w:tcW w:type="dxa" w:w="3744"/>
          </w:tcPr>
          <w:p>
            <w:r>
              <w:t>Explicit provision cross-references visible in the constitutional text</w:t>
            </w:r>
          </w:p>
        </w:tc>
        <w:tc>
          <w:tcPr>
            <w:tcW w:type="dxa" w:w="1008"/>
          </w:tcPr>
          <w:p>
            <w:r>
              <w:t>Low</w:t>
            </w:r>
          </w:p>
        </w:tc>
        <w:tc>
          <w:tcPr>
            <w:tcW w:type="dxa" w:w="2448"/>
          </w:tcPr>
          <w:p>
            <w:r>
              <w:t>Text search; provision index scan</w:t>
            </w:r>
          </w:p>
        </w:tc>
      </w:tr>
      <w:tr>
        <w:tc>
          <w:tcPr>
            <w:tcW w:type="dxa" w:w="720"/>
          </w:tcPr>
          <w:p>
            <w:r>
              <w:t>T2</w:t>
            </w:r>
          </w:p>
        </w:tc>
        <w:tc>
          <w:tcPr>
            <w:tcW w:type="dxa" w:w="1872"/>
          </w:tcPr>
          <w:p>
            <w:r>
              <w:t>Functional Dependencies</w:t>
            </w:r>
          </w:p>
        </w:tc>
        <w:tc>
          <w:tcPr>
            <w:tcW w:type="dxa" w:w="3744"/>
          </w:tcPr>
          <w:p>
            <w:r>
              <w:t>One provision's effect depends on another's definition without explicit reference — requires semantic analysis</w:t>
            </w:r>
          </w:p>
        </w:tc>
        <w:tc>
          <w:tcPr>
            <w:tcW w:type="dxa" w:w="1008"/>
          </w:tcPr>
          <w:p>
            <w:r>
              <w:t>Medium</w:t>
            </w:r>
          </w:p>
        </w:tc>
        <w:tc>
          <w:tcPr>
            <w:tcW w:type="dxa" w:w="2448"/>
          </w:tcPr>
          <w:p>
            <w:r>
              <w:t>Semantic analysis; definition mapping</w:t>
            </w:r>
          </w:p>
        </w:tc>
      </w:tr>
      <w:tr>
        <w:tc>
          <w:tcPr>
            <w:tcW w:type="dxa" w:w="720"/>
          </w:tcPr>
          <w:p>
            <w:r>
              <w:t>T3</w:t>
            </w:r>
          </w:p>
        </w:tc>
        <w:tc>
          <w:tcPr>
            <w:tcW w:type="dxa" w:w="1872"/>
          </w:tcPr>
          <w:p>
            <w:r>
              <w:t>Behavioral Dependencies</w:t>
            </w:r>
          </w:p>
        </w:tc>
        <w:tc>
          <w:tcPr>
            <w:tcW w:type="dxa" w:w="3744"/>
          </w:tcPr>
          <w:p>
            <w:r>
              <w:t>A change shifts the practical operation of another provision without modifying its text — invisible to textual analysis</w:t>
            </w:r>
          </w:p>
        </w:tc>
        <w:tc>
          <w:tcPr>
            <w:tcW w:type="dxa" w:w="1008"/>
          </w:tcPr>
          <w:p>
            <w:r>
              <w:t>High</w:t>
            </w:r>
          </w:p>
        </w:tc>
        <w:tc>
          <w:tcPr>
            <w:tcW w:type="dxa" w:w="2448"/>
          </w:tcPr>
          <w:p>
            <w:r>
              <w:t>Operational simulation; organ behavior modeling</w:t>
            </w:r>
          </w:p>
        </w:tc>
      </w:tr>
      <w:tr>
        <w:tc>
          <w:tcPr>
            <w:tcW w:type="dxa" w:w="720"/>
          </w:tcPr>
          <w:p>
            <w:r>
              <w:t>T4</w:t>
            </w:r>
          </w:p>
        </w:tc>
        <w:tc>
          <w:tcPr>
            <w:tcW w:type="dxa" w:w="1872"/>
          </w:tcPr>
          <w:p>
            <w:r>
              <w:t>Emergent Dependencies</w:t>
            </w:r>
          </w:p>
        </w:tc>
        <w:tc>
          <w:tcPr>
            <w:tcW w:type="dxa" w:w="3744"/>
          </w:tcPr>
          <w:p>
            <w:r>
              <w:t>Effects that only appear when two or more provisions interact under specific operational conditions</w:t>
            </w:r>
          </w:p>
        </w:tc>
        <w:tc>
          <w:tcPr>
            <w:tcW w:type="dxa" w:w="1008"/>
          </w:tcPr>
          <w:p>
            <w:r>
              <w:t>Critical</w:t>
            </w:r>
          </w:p>
        </w:tc>
        <w:tc>
          <w:tcPr>
            <w:tcW w:type="dxa" w:w="2448"/>
          </w:tcPr>
          <w:p>
            <w:r>
              <w:t>Scenario modeling; multi-provision interaction testing</w:t>
            </w:r>
          </w:p>
        </w:tc>
      </w:tr>
    </w:tbl>
    <w:p>
      <w:pPr>
        <w:spacing w:before="120" w:after="40"/>
      </w:pPr>
      <w:r>
        <w:rPr>
          <w:b/>
          <w:sz w:val="23"/>
        </w:rPr>
        <w:t>T1 — Textual Dependencies</w:t>
      </w:r>
    </w:p>
    <w:p>
      <w:r>
        <w:rPr>
          <w:b w:val="0"/>
          <w:i w:val="0"/>
        </w:rPr>
        <w:t>One provision explicitly references or cites the other in its text; the dependency is traceable by direct textual analysis alone. Example: EDGE-002, where GOV-01 references the ratification thresholds of GOV-05.</w:t>
      </w:r>
    </w:p>
    <w:p>
      <w:pPr>
        <w:spacing w:before="120" w:after="40"/>
      </w:pPr>
      <w:r>
        <w:rPr>
          <w:b/>
          <w:sz w:val="23"/>
        </w:rPr>
        <w:t>T2 — Functional Dependencies</w:t>
      </w:r>
    </w:p>
    <w:p>
      <w:r>
        <w:rPr>
          <w:b w:val="0"/>
          <w:i w:val="0"/>
        </w:rPr>
        <w:t>One provision cannot operate as intended without the existence or operation of the other, even where no explicit textual reference exists. Identified through semantic analysis of provision purpose. Example: EDGE-006, where OP-01 grants authority without content and GOV-02 supplies the principal structure that gives it meaning.</w:t>
      </w:r>
    </w:p>
    <w:p>
      <w:pPr>
        <w:spacing w:before="120" w:after="40"/>
      </w:pPr>
      <w:r>
        <w:rPr>
          <w:b/>
          <w:sz w:val="23"/>
        </w:rPr>
        <w:t>T3 — Behavioral Dependencies</w:t>
      </w:r>
    </w:p>
    <w:p>
      <w:r>
        <w:rPr>
          <w:b w:val="0"/>
          <w:i w:val="0"/>
        </w:rPr>
        <w:t>One provision modifies, activates, suspends, or overrides another provision's behavioral effect at runtime. Identified through behavioral modeling of operation scenarios. Examples: EDGE-008 (EMRG-06 suspends OP-03 validation on hash mismatch), EDGE-009 (EMRG-04 modifies OP-01 authority surface), EDGE-013 (EMRG-02 suspends OP-05 during island mode).</w:t>
      </w:r>
    </w:p>
    <w:p>
      <w:pPr>
        <w:spacing w:before="120" w:after="40"/>
      </w:pPr>
      <w:r>
        <w:rPr>
          <w:b/>
          <w:sz w:val="23"/>
        </w:rPr>
        <w:t>T4 — Emergent Dependencies</w:t>
      </w:r>
    </w:p>
    <w:p>
      <w:r>
        <w:rPr>
          <w:b w:val="0"/>
          <w:i w:val="0"/>
        </w:rPr>
        <w:t>Effects that appear only when two or more provisions interact under specific operational conditions — effects invisible in any individual provision analysis. Identified through scenario modeling and multi-provision interaction testing. The seed file's five unresolved flags (FLAG-001 through FLAG-005) are formal candidates for elevation to T4 edges, including EDGE-004, the highest-risk confirmed edge (PRO-05 ↔ GOV-01).</w:t>
      </w:r>
    </w:p>
    <w:p>
      <w:pPr>
        <w:spacing w:after="80"/>
      </w:pPr>
      <w:r>
        <w:rPr>
          <w:b/>
          <w:color w:val="1F3A5F"/>
          <w:sz w:val="28"/>
        </w:rPr>
        <w:t>SECTION 5 — THE IMPACT SURFACE REPORT</w:t>
      </w:r>
    </w:p>
    <w:p>
      <w:r>
        <w:rPr>
          <w:b w:val="0"/>
          <w:i w:val="0"/>
        </w:rPr>
        <w:t>Before ratification, the CDG generates a tiered Impact Surface Report structured around the four dependency types. The full report accompanies every CEP-1 Stage 5 submission.</w:t>
      </w:r>
    </w:p>
    <w:p>
      <w:pPr>
        <w:spacing w:before="120" w:after="40"/>
      </w:pPr>
      <w:r>
        <w:rPr>
          <w:b/>
          <w:sz w:val="23"/>
        </w:rPr>
        <w:t>5.1 Tier 1 — Direct Modification Surface</w:t>
      </w:r>
    </w:p>
    <w:p>
      <w:r>
        <w:rPr>
          <w:b w:val="0"/>
          <w:i w:val="0"/>
        </w:rPr>
        <w:t>The provisions explicitly modified by the amendment. Tier 1 is the minimum scope of any amendment analysis.</w:t>
      </w:r>
    </w:p>
    <w:p>
      <w:pPr>
        <w:spacing w:before="120" w:after="40"/>
      </w:pPr>
      <w:r>
        <w:rPr>
          <w:b/>
          <w:sz w:val="23"/>
        </w:rPr>
        <w:t>5.2 Tier 2 — Textual and Functional Dependency Surface</w:t>
      </w:r>
    </w:p>
    <w:p>
      <w:r>
        <w:rPr>
          <w:b w:val="0"/>
          <w:i w:val="0"/>
        </w:rPr>
        <w:t>All provisions with textual or functional dependencies on the modified provisions. Tier 2 must identify every provision affected by definition changes or cross-reference modifications.</w:t>
      </w:r>
    </w:p>
    <w:p>
      <w:pPr>
        <w:spacing w:before="120" w:after="40"/>
      </w:pPr>
      <w:r>
        <w:rPr>
          <w:b/>
          <w:sz w:val="23"/>
        </w:rPr>
        <w:t>5.3 Tier 3 — Behavioral Dependency Surface</w:t>
      </w:r>
    </w:p>
    <w:p>
      <w:r>
        <w:rPr>
          <w:b w:val="0"/>
          <w:i w:val="0"/>
        </w:rPr>
        <w:t>All provisions whose operational behavior would be altered by the amendment without their text changing. Tier 3 requires organ-level behavioral modeling against the proposed amendment.</w:t>
      </w:r>
    </w:p>
    <w:p>
      <w:pPr>
        <w:spacing w:before="120" w:after="40"/>
      </w:pPr>
      <w:r>
        <w:rPr>
          <w:b/>
          <w:sz w:val="23"/>
        </w:rPr>
        <w:t>5.4 Tier 4 — Emergent Interaction Surface</w:t>
      </w:r>
    </w:p>
    <w:p>
      <w:r>
        <w:rPr>
          <w:b w:val="0"/>
          <w:i w:val="0"/>
        </w:rPr>
        <w:t>All multi-provision interactions that may produce effects not visible in any individual provision analysis. Tier 4 requires scenario modeling under specific operational conditions. Tier 4 analysis is mandatory before ratification may proceed at Stage 6; a Tier 4 obligation cannot be waived or deferred.</w:t>
      </w:r>
    </w:p>
    <w:p>
      <w:pPr>
        <w:spacing w:before="120" w:after="40"/>
      </w:pPr>
      <w:r>
        <w:rPr>
          <w:b/>
          <w:sz w:val="23"/>
        </w:rPr>
        <w:t>5.5 Ratification Package Inclusion</w:t>
      </w:r>
    </w:p>
    <w:p>
      <w:r>
        <w:rPr>
          <w:b w:val="0"/>
          <w:i w:val="0"/>
        </w:rPr>
        <w:t>The complete Impact Surface Report — all four tiers — must be included in the ratification package presented to principals at Stage 6. Ratification packages that do not include the full report are procedurally incomplete and may not be submitted for principal vote. A principal may return an incomplete package to the initiating party without prejudice to the proposal.</w:t>
      </w:r>
    </w:p>
    <w:p>
      <w:pPr>
        <w:spacing w:before="120" w:after="40"/>
      </w:pPr>
      <w:r>
        <w:rPr>
          <w:b/>
          <w:sz w:val="23"/>
        </w:rPr>
        <w:t>5.6 Procedural Completeness</w:t>
      </w:r>
    </w:p>
    <w:p>
      <w:r>
        <w:rPr>
          <w:b w:val="0"/>
          <w:i w:val="0"/>
        </w:rPr>
        <w:t>A Stage 5 submission without a Tier 4 Impact Surface Report is procedurally deficient and cannot proceed to human ratification.</w:t>
      </w:r>
    </w:p>
    <w:p>
      <w:pPr>
        <w:spacing w:before="120" w:after="40"/>
      </w:pPr>
      <w:r>
        <w:rPr>
          <w:b/>
          <w:sz w:val="23"/>
        </w:rPr>
        <w:t>5.7 Report Structure and Sealing</w:t>
      </w:r>
    </w:p>
    <w:p>
      <w:r>
        <w:rPr>
          <w:b w:val="0"/>
          <w:i w:val="0"/>
        </w:rPr>
        <w:t>Each tier section records the provisions identified, the dependency type and strength of each edge, the detection method, and the CDG version referenced. The completed report is sealed into the Pattern Ledger and becomes an input document to Stage 5.</w:t>
      </w:r>
    </w:p>
    <w:p>
      <w:pPr>
        <w:spacing w:after="80"/>
      </w:pPr>
      <w:r>
        <w:rPr>
          <w:b/>
          <w:color w:val="1F3A5F"/>
          <w:sz w:val="28"/>
        </w:rPr>
        <w:t>SECTION 6 — DEPENDENCY COVERAGE FOR VERIFICATION STAGES</w:t>
      </w:r>
    </w:p>
    <w:p>
      <w:pPr>
        <w:spacing w:before="120" w:after="40"/>
      </w:pPr>
      <w:r>
        <w:rPr>
          <w:b/>
          <w:sz w:val="23"/>
        </w:rPr>
        <w:t>6.1 Replay Verification Scope (CEP-1 Stage 3)</w:t>
      </w:r>
    </w:p>
    <w:p>
      <w:r>
        <w:rPr>
          <w:b w:val="0"/>
          <w:i w:val="0"/>
        </w:rPr>
        <w:t>Replay verification must include all provisions identified in the CEP-4 Impact Surface Report at the following tiers: Tier 1 (directly modified provisions) — required; Tier 2 (textual and functional dependencies) — required as of the CEP-1 v1.1 integration. Replay limited to directly modified provisions only is non-conformant. The Stage 3 completion report must document the Tier 1 and Tier 2 scope explicitly.</w:t>
      </w:r>
    </w:p>
    <w:p>
      <w:pPr>
        <w:spacing w:before="120" w:after="40"/>
      </w:pPr>
      <w:r>
        <w:rPr>
          <w:b/>
          <w:sz w:val="23"/>
        </w:rPr>
        <w:t>6.2 EGL-1 Equivalence Scope (CEP-1 Stage 4)</w:t>
      </w:r>
    </w:p>
    <w:p>
      <w:r>
        <w:rPr>
          <w:b w:val="0"/>
          <w:i w:val="0"/>
        </w:rPr>
        <w:t>Execution equivalence verification must be applied not only to directly modified provisions (Tier 1) but to all provisions in the Tier 1 and Tier 2 impact surface. This ensures equivalence testing covers the full dependency surface, and that a change producing divergent results across implementations cannot be ratified.</w:t>
      </w:r>
    </w:p>
    <w:p>
      <w:pPr>
        <w:spacing w:before="120" w:after="40"/>
      </w:pPr>
      <w:r>
        <w:rPr>
          <w:b/>
          <w:sz w:val="23"/>
        </w:rPr>
        <w:t>6.3 Full-Surface Coverage</w:t>
      </w:r>
    </w:p>
    <w:p>
      <w:r>
        <w:rPr>
          <w:b w:val="0"/>
          <w:i w:val="0"/>
        </w:rPr>
        <w:t>No provision in the identified impact surface may be excluded from verification on the basis that its behavior was not expected to change. Dependencies are declared because their behavior may change; verification is the test of whether it does.</w:t>
      </w:r>
    </w:p>
    <w:p>
      <w:pPr>
        <w:spacing w:after="80"/>
      </w:pPr>
      <w:r>
        <w:rPr>
          <w:b/>
          <w:color w:val="1F3A5F"/>
          <w:sz w:val="28"/>
        </w:rPr>
        <w:t>SECTION 7 — GRAPH CONSTRUCTION AND MAINTENANCE</w:t>
      </w:r>
    </w:p>
    <w:p>
      <w:pPr>
        <w:spacing w:before="120" w:after="40"/>
      </w:pPr>
      <w:r>
        <w:rPr>
          <w:b/>
          <w:sz w:val="23"/>
        </w:rPr>
        <w:t>7.1 Seeding</w:t>
      </w:r>
    </w:p>
    <w:p>
      <w:r>
        <w:rPr>
          <w:b w:val="0"/>
          <w:i w:val="0"/>
        </w:rPr>
        <w:t>At first deployment, the CDG Seed File v1.0 is loaded into the organ maintaining the graph (Organ 03 — The Constitution). All baseline nodes and edges are sealed into the Merkle-chain Pattern Ledger as constitutional baseline, and the seed's SHA-256 hash becomes the root of the CDG version chain.</w:t>
      </w:r>
    </w:p>
    <w:p>
      <w:pPr>
        <w:spacing w:before="120" w:after="40"/>
      </w:pPr>
      <w:r>
        <w:rPr>
          <w:b/>
          <w:sz w:val="23"/>
        </w:rPr>
        <w:t>7.2 Node Additions</w:t>
      </w:r>
    </w:p>
    <w:p>
      <w:r>
        <w:rPr>
          <w:b w:val="0"/>
          <w:i w:val="0"/>
        </w:rPr>
        <w:t>Node additions require a full CEP-1 amendment referencing the affected provision. Provisions outside Phase 1 seeding are added through the defined seeding phases, not through ad hoc registration.</w:t>
      </w:r>
    </w:p>
    <w:p>
      <w:pPr>
        <w:spacing w:before="120" w:after="40"/>
      </w:pPr>
      <w:r>
        <w:rPr>
          <w:b/>
          <w:sz w:val="23"/>
        </w:rPr>
        <w:t>7.3 Edge Changes</w:t>
      </w:r>
    </w:p>
    <w:p>
      <w:r>
        <w:rPr>
          <w:b w:val="0"/>
          <w:i w:val="0"/>
        </w:rPr>
        <w:t>Edge additions, modifications, or deprecations must be accompanied by an updated Impact Surface Report. An edge without a documented basis is not a dependency; it is an assertion.</w:t>
      </w:r>
    </w:p>
    <w:p>
      <w:pPr>
        <w:spacing w:before="120" w:after="40"/>
      </w:pPr>
      <w:r>
        <w:rPr>
          <w:b/>
          <w:sz w:val="23"/>
        </w:rPr>
        <w:t>7.4 Post-Ratification Update</w:t>
      </w:r>
    </w:p>
    <w:p>
      <w:r>
        <w:rPr>
          <w:b w:val="0"/>
          <w:i w:val="0"/>
        </w:rPr>
        <w:t>The graph must be updated within 72 hours of ratification to reflect any new or modified nodes and edges identified in the Impact Surface Report (CEP-1 Stage 7, Post-step 7B). The updated graph version is sealed into the Constitutional Archive upon completion.</w:t>
      </w:r>
    </w:p>
    <w:p>
      <w:pPr>
        <w:spacing w:before="120" w:after="40"/>
      </w:pPr>
      <w:r>
        <w:rPr>
          <w:b/>
          <w:sz w:val="23"/>
        </w:rPr>
        <w:t>7.5 Amendment Constraint</w:t>
      </w:r>
    </w:p>
    <w:p>
      <w:r>
        <w:rPr>
          <w:b w:val="0"/>
          <w:i w:val="0"/>
        </w:rPr>
        <w:t>No CDG modification may occur outside the CEP-1 pipeline except under an active Emergency Amendment Protocol (Article IX GOV-08).</w:t>
      </w:r>
    </w:p>
    <w:p>
      <w:pPr>
        <w:spacing w:before="120" w:after="40"/>
      </w:pPr>
      <w:r>
        <w:rPr>
          <w:b/>
          <w:sz w:val="23"/>
        </w:rPr>
        <w:t>7.6 Flag Resolution</w:t>
      </w:r>
    </w:p>
    <w:p>
      <w:r>
        <w:rPr>
          <w:b w:val="0"/>
          <w:i w:val="0"/>
        </w:rPr>
        <w:t>Unresolved dependency flags are binding analytical obligations on the graph maintenance function. No flag may be dismissed without documented resolution. Resolution requires either a new confirmed edge entry or a documented determination that no dependency exists, with supporting analysis filed in the Constitutional Archive. HIGH-priority flags must be resolved before Phase 2 seeding begins.</w:t>
      </w:r>
    </w:p>
    <w:p>
      <w:pPr>
        <w:spacing w:after="80"/>
      </w:pPr>
      <w:r>
        <w:rPr>
          <w:b/>
          <w:color w:val="1F3A5F"/>
          <w:sz w:val="28"/>
        </w:rPr>
        <w:t>SECTION 8 — VERIFICATION AND AUDITING</w:t>
      </w:r>
    </w:p>
    <w:p>
      <w:pPr>
        <w:spacing w:before="120" w:after="40"/>
      </w:pPr>
      <w:r>
        <w:rPr>
          <w:b/>
          <w:sz w:val="23"/>
        </w:rPr>
        <w:t>8.1 Transition Verification (CS-12)</w:t>
      </w:r>
    </w:p>
    <w:p>
      <w:r>
        <w:rPr>
          <w:b w:val="0"/>
          <w:i w:val="0"/>
        </w:rPr>
        <w:t>CS-12 Ratification Fidelity verification confirms that CDG updates accompanying a CEP-1 amendment were correctly applied, that the resulting graph version hash matches the declared post-amendment hash, and that no unintended edges were created or destroyed.</w:t>
      </w:r>
    </w:p>
    <w:p>
      <w:pPr>
        <w:spacing w:before="120" w:after="40"/>
      </w:pPr>
      <w:r>
        <w:rPr>
          <w:b/>
          <w:sz w:val="23"/>
        </w:rPr>
        <w:t>8.2 Ledger and Archive Integrity</w:t>
      </w:r>
    </w:p>
    <w:p>
      <w:r>
        <w:rPr>
          <w:b w:val="0"/>
          <w:i w:val="0"/>
        </w:rPr>
        <w:t>Every CDG version entry is sealed into the Merkle-chain Pattern Ledger and deposited in the Constitutional Archive. Archive entries are immutable, permanently retained, and accessible via soma.constitution.archive_query with Merkle-chain proof of integrity.</w:t>
      </w:r>
    </w:p>
    <w:p>
      <w:pPr>
        <w:spacing w:before="120" w:after="40"/>
      </w:pPr>
      <w:r>
        <w:rPr>
          <w:b/>
          <w:sz w:val="23"/>
        </w:rPr>
        <w:t>8.3 Audit Trail</w:t>
      </w:r>
    </w:p>
    <w:p>
      <w:r>
        <w:rPr>
          <w:b w:val="0"/>
          <w:i w:val="0"/>
        </w:rPr>
        <w:t>The edge registry, flag registry, and version chain are auditable in full. Any discrepancy between a declared post-amendment hash and the sealed graph is a constitutional integrity finding subject to the violation and escalation provisions.</w:t>
      </w:r>
    </w:p>
    <w:p>
      <w:pPr>
        <w:spacing w:after="80"/>
      </w:pPr>
      <w:r>
        <w:rPr>
          <w:b/>
          <w:color w:val="1F3A5F"/>
          <w:sz w:val="28"/>
        </w:rPr>
        <w:t>SECTION 9 — RELATIONSHIP TO OTHER SPECIFICATIONS</w:t>
      </w:r>
    </w:p>
    <w:tbl>
      <w:tblPr>
        <w:tblStyle w:val="TableGrid"/>
        <w:tblW w:type="auto" w:w="0"/>
        <w:tblLook w:firstColumn="1" w:firstRow="1" w:lastColumn="0" w:lastRow="0" w:noHBand="0" w:noVBand="1" w:val="04A0"/>
      </w:tblPr>
      <w:tblGrid>
        <w:gridCol w:w="3216"/>
        <w:gridCol w:w="3216"/>
        <w:gridCol w:w="3216"/>
      </w:tblGrid>
      <w:tr>
        <w:tc>
          <w:tcPr>
            <w:tcW w:type="dxa" w:w="1872"/>
          </w:tcPr>
          <w:p>
            <w:r/>
            <w:r>
              <w:rPr>
                <w:b/>
              </w:rPr>
              <w:t>Specification</w:t>
            </w:r>
          </w:p>
        </w:tc>
        <w:tc>
          <w:tcPr>
            <w:tcW w:type="dxa" w:w="4896"/>
          </w:tcPr>
          <w:p>
            <w:r/>
            <w:r>
              <w:rPr>
                <w:b/>
              </w:rPr>
              <w:t>Relationship</w:t>
            </w:r>
          </w:p>
        </w:tc>
        <w:tc>
          <w:tcPr>
            <w:tcW w:type="dxa" w:w="2592"/>
          </w:tcPr>
          <w:p>
            <w:r/>
            <w:r>
              <w:rPr>
                <w:b/>
              </w:rPr>
              <w:t>Direction of Dependency</w:t>
            </w:r>
          </w:p>
        </w:tc>
      </w:tr>
      <w:tr>
        <w:tc>
          <w:tcPr>
            <w:tcW w:type="dxa" w:w="1872"/>
          </w:tcPr>
          <w:p>
            <w:r>
              <w:t>CEP-1</w:t>
            </w:r>
          </w:p>
        </w:tc>
        <w:tc>
          <w:tcPr>
            <w:tcW w:type="dxa" w:w="4896"/>
          </w:tcPr>
          <w:p>
            <w:r>
              <w:t>Impact Surface Report required at Stage 5; Replay scope at Stage 3; EGL-1 scope at Stage 4; ratification package inclusion at Stage 6; 72-hour graph update at Stage 7 (Post-step 7B)</w:t>
            </w:r>
          </w:p>
        </w:tc>
        <w:tc>
          <w:tcPr>
            <w:tcW w:type="dxa" w:w="2592"/>
          </w:tcPr>
          <w:p>
            <w:r>
              <w:t>Bidirectional</w:t>
            </w:r>
          </w:p>
        </w:tc>
      </w:tr>
      <w:tr>
        <w:tc>
          <w:tcPr>
            <w:tcW w:type="dxa" w:w="1872"/>
          </w:tcPr>
          <w:p>
            <w:r>
              <w:t>CEP-2</w:t>
            </w:r>
          </w:p>
        </w:tc>
        <w:tc>
          <w:tcPr>
            <w:tcW w:type="dxa" w:w="4896"/>
          </w:tcPr>
          <w:p>
            <w:r>
              <w:t>Confirmed edges inform the interpretive weight of co-dependent provisions; classifications reference CDG node IDs</w:t>
            </w:r>
          </w:p>
        </w:tc>
        <w:tc>
          <w:tcPr>
            <w:tcW w:type="dxa" w:w="2592"/>
          </w:tcPr>
          <w:p>
            <w:r>
              <w:t>Bidirectional</w:t>
            </w:r>
          </w:p>
        </w:tc>
      </w:tr>
      <w:tr>
        <w:tc>
          <w:tcPr>
            <w:tcW w:type="dxa" w:w="1872"/>
          </w:tcPr>
          <w:p>
            <w:r>
              <w:t>CEP-3</w:t>
            </w:r>
          </w:p>
        </w:tc>
        <w:tc>
          <w:tcPr>
            <w:tcW w:type="dxa" w:w="4896"/>
          </w:tcPr>
          <w:p>
            <w:r>
              <w:t>Interpretation Drift data enriches dependency analysis by identifying provisions whose operational meaning has diverged from textual meaning — a class of dependency invisible to purely textual analysis</w:t>
            </w:r>
          </w:p>
        </w:tc>
        <w:tc>
          <w:tcPr>
            <w:tcW w:type="dxa" w:w="2592"/>
          </w:tcPr>
          <w:p>
            <w:r>
              <w:t>CEP-3 → CEP-4 (input)</w:t>
            </w:r>
          </w:p>
        </w:tc>
      </w:tr>
      <w:tr>
        <w:tc>
          <w:tcPr>
            <w:tcW w:type="dxa" w:w="1872"/>
          </w:tcPr>
          <w:p>
            <w:r>
              <w:t>CDG Seed File</w:t>
            </w:r>
          </w:p>
        </w:tc>
        <w:tc>
          <w:tcPr>
            <w:tcW w:type="dxa" w:w="4896"/>
          </w:tcPr>
          <w:p>
            <w:r>
              <w:t>Implements the CDG data structure and graph construction procedure defined in this specification; this specification is the normative authority for all structural decisions</w:t>
            </w:r>
          </w:p>
        </w:tc>
        <w:tc>
          <w:tcPr>
            <w:tcW w:type="dxa" w:w="2592"/>
          </w:tcPr>
          <w:p>
            <w:r>
              <w:t>CEP-4 → Seed File (normative authority)</w:t>
            </w:r>
          </w:p>
        </w:tc>
      </w:tr>
      <w:tr>
        <w:tc>
          <w:tcPr>
            <w:tcW w:type="dxa" w:w="1872"/>
          </w:tcPr>
          <w:p>
            <w:r>
              <w:t>CS-11</w:t>
            </w:r>
          </w:p>
        </w:tc>
        <w:tc>
          <w:tcPr>
            <w:tcW w:type="dxa" w:w="4896"/>
          </w:tcPr>
          <w:p>
            <w:r>
              <w:t>Node and edge schemas must conform to CS-11 data format requirements at the implementation layer</w:t>
            </w:r>
          </w:p>
        </w:tc>
        <w:tc>
          <w:tcPr>
            <w:tcW w:type="dxa" w:w="2592"/>
          </w:tcPr>
          <w:p>
            <w:r>
              <w:t>CS-11 → CEP-4 (technical conformance)</w:t>
            </w:r>
          </w:p>
        </w:tc>
      </w:tr>
      <w:tr>
        <w:tc>
          <w:tcPr>
            <w:tcW w:type="dxa" w:w="1872"/>
          </w:tcPr>
          <w:p>
            <w:r>
              <w:t>CS-12</w:t>
            </w:r>
          </w:p>
        </w:tc>
        <w:tc>
          <w:tcPr>
            <w:tcW w:type="dxa" w:w="4896"/>
          </w:tcPr>
          <w:p>
            <w:r>
              <w:t>Verification authority over CDG transitions; Ratification Fidelity checks apply to each graph version change</w:t>
            </w:r>
          </w:p>
        </w:tc>
        <w:tc>
          <w:tcPr>
            <w:tcW w:type="dxa" w:w="2592"/>
          </w:tcPr>
          <w:p>
            <w:r>
              <w:t>CS-12 → CEP-4 (verification)</w:t>
            </w:r>
          </w:p>
        </w:tc>
      </w:tr>
    </w:tbl>
    <w:p>
      <w:pPr>
        <w:spacing w:after="80"/>
      </w:pPr>
      <w:r>
        <w:rPr>
          <w:b/>
          <w:color w:val="1F3A5F"/>
          <w:sz w:val="28"/>
        </w:rPr>
        <w:t>SECTION 10 — OPEN QUESTIONS</w:t>
      </w:r>
    </w:p>
    <w:p>
      <w:pPr>
        <w:pStyle w:val="ListBullet"/>
      </w:pPr>
      <w:r>
        <w:t>Whether Tier 2 and Tier 3 dependency identification should be automatable, and at what detection-confidence an automated result may replace analyst confirmation.</w:t>
      </w:r>
    </w:p>
    <w:p>
      <w:pPr>
        <w:pStyle w:val="ListBullet"/>
      </w:pPr>
      <w:r>
        <w:t>Whether CEP-3 Interpretation Drift can create new dependencies not present at ratification, and whether the Tier 4 scenario catalog must include drift-induced scenarios.</w:t>
      </w:r>
    </w:p>
    <w:p>
      <w:pPr>
        <w:pStyle w:val="ListBullet"/>
      </w:pPr>
      <w:r>
        <w:t>Whether edges should carry a lifecycle state (provisional, confirmed, deprecated) distinct from their dependency type, and how provisional edges are archived if never confirmed.</w:t>
      </w:r>
    </w:p>
    <w:p>
      <w:pPr>
        <w:pStyle w:val="ListBullet"/>
      </w:pPr>
      <w:r>
        <w:t>How flag resolution deadlines interact with in-flight amendment timelines when a HIGH-priority flag implicates a provision under active CEP-1 processing.</w:t>
      </w:r>
    </w:p>
    <w:p>
      <w:pPr>
        <w:spacing w:before="280"/>
      </w:pPr>
      <w:r>
        <w:rPr>
          <w:i/>
          <w:sz w:val="16"/>
        </w:rPr>
        <w:t>Constitutional Engineering Framework  |  CEP-4  |  Draft v1.0  |  July 4, 2026</w:t>
      </w:r>
    </w:p>
    <w:p>
      <w:pPr>
        <w:spacing w:before="280"/>
      </w:pPr>
      <w:r>
        <w:rPr>
          <w:i/>
          <w:sz w:val="16"/>
        </w:rPr>
        <w:t>This document is subject to the CEP-1 amendment process. All provisions herein are draft until ratification. Author: jon (Primary Principal, AI Organism)</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