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28"/>
        </w:rPr>
        <w:t>CONSTITUTIONAL SYSTEMS SPECIFICATION</w:t>
      </w:r>
    </w:p>
    <w:p>
      <w:pPr>
        <w:spacing w:after="80"/>
      </w:pPr>
      <w:r>
        <w:rPr>
          <w:b/>
          <w:color w:val="1F3A5F"/>
          <w:sz w:val="28"/>
        </w:rPr>
        <w:t>CS-11: Ethics &amp; Alignment System Specification</w:t>
      </w:r>
    </w:p>
    <w:p>
      <w:r>
        <w:rPr>
          <w:b w:val="0"/>
          <w:i/>
        </w:rPr>
        <w:t>Closing the Values Gap — Specification, Version 1.0, Draft</w:t>
      </w:r>
    </w:p>
    <w:tbl>
      <w:tblPr>
        <w:tblStyle w:val="TableGrid"/>
        <w:tblW w:type="auto" w:w="0"/>
        <w:tblLook w:firstColumn="1" w:firstRow="1" w:lastColumn="0" w:lastRow="0" w:noHBand="0" w:noVBand="1" w:val="04A0"/>
      </w:tblPr>
      <w:tblGrid>
        <w:gridCol w:w="4824"/>
        <w:gridCol w:w="4824"/>
      </w:tblGrid>
      <w:tr>
        <w:tc>
          <w:tcPr>
            <w:tcW w:type="dxa" w:w="2304"/>
          </w:tcPr>
          <w:p>
            <w:r/>
            <w:r>
              <w:rPr>
                <w:b/>
              </w:rPr>
              <w:t>Field</w:t>
            </w:r>
          </w:p>
        </w:tc>
        <w:tc>
          <w:tcPr>
            <w:tcW w:type="dxa" w:w="7056"/>
          </w:tcPr>
          <w:p>
            <w:r/>
            <w:r>
              <w:rPr>
                <w:b/>
              </w:rPr>
              <w:t>Value</w:t>
            </w:r>
          </w:p>
        </w:tc>
      </w:tr>
      <w:tr>
        <w:tc>
          <w:tcPr>
            <w:tcW w:type="dxa" w:w="2304"/>
          </w:tcPr>
          <w:p>
            <w:r>
              <w:t>System Number</w:t>
            </w:r>
          </w:p>
        </w:tc>
        <w:tc>
          <w:tcPr>
            <w:tcW w:type="dxa" w:w="7056"/>
          </w:tcPr>
          <w:p>
            <w:r>
              <w:t>CS-11</w:t>
            </w:r>
          </w:p>
        </w:tc>
      </w:tr>
      <w:tr>
        <w:tc>
          <w:tcPr>
            <w:tcW w:type="dxa" w:w="2304"/>
          </w:tcPr>
          <w:p>
            <w:r>
              <w:t>Title</w:t>
            </w:r>
          </w:p>
        </w:tc>
        <w:tc>
          <w:tcPr>
            <w:tcW w:type="dxa" w:w="7056"/>
          </w:tcPr>
          <w:p>
            <w:r>
              <w:t>Ethics &amp; Alignment</w:t>
            </w:r>
          </w:p>
        </w:tc>
      </w:tr>
      <w:tr>
        <w:tc>
          <w:tcPr>
            <w:tcW w:type="dxa" w:w="2304"/>
          </w:tcPr>
          <w:p>
            <w:r>
              <w:t>Status</w:t>
            </w:r>
          </w:p>
        </w:tc>
        <w:tc>
          <w:tcPr>
            <w:tcW w:type="dxa" w:w="7056"/>
          </w:tcPr>
          <w:p>
            <w:r>
              <w:t>Draft</w:t>
            </w:r>
          </w:p>
        </w:tc>
      </w:tr>
      <w:tr>
        <w:tc>
          <w:tcPr>
            <w:tcW w:type="dxa" w:w="2304"/>
          </w:tcPr>
          <w:p>
            <w:r>
              <w:t>Version</w:t>
            </w:r>
          </w:p>
        </w:tc>
        <w:tc>
          <w:tcPr>
            <w:tcW w:type="dxa" w:w="7056"/>
          </w:tcPr>
          <w:p>
            <w:r>
              <w:t>1.0</w:t>
            </w:r>
          </w:p>
        </w:tc>
      </w:tr>
      <w:tr>
        <w:tc>
          <w:tcPr>
            <w:tcW w:type="dxa" w:w="2304"/>
          </w:tcPr>
          <w:p>
            <w:r>
              <w:t>Date</w:t>
            </w:r>
          </w:p>
        </w:tc>
        <w:tc>
          <w:tcPr>
            <w:tcW w:type="dxa" w:w="7056"/>
          </w:tcPr>
          <w:p>
            <w:r>
              <w:t>July 4, 2026</w:t>
            </w:r>
          </w:p>
        </w:tc>
      </w:tr>
      <w:tr>
        <w:tc>
          <w:tcPr>
            <w:tcW w:type="dxa" w:w="2304"/>
          </w:tcPr>
          <w:p>
            <w:r>
              <w:t>Governance Domain</w:t>
            </w:r>
          </w:p>
        </w:tc>
        <w:tc>
          <w:tcPr>
            <w:tcW w:type="dxa" w:w="7056"/>
          </w:tcPr>
          <w:p>
            <w:r>
              <w:t>Value alignment verification and ethical constraint enforcement</w:t>
            </w:r>
          </w:p>
        </w:tc>
      </w:tr>
      <w:tr>
        <w:tc>
          <w:tcPr>
            <w:tcW w:type="dxa" w:w="2304"/>
          </w:tcPr>
          <w:p>
            <w:r>
              <w:t>Relates To</w:t>
            </w:r>
          </w:p>
        </w:tc>
        <w:tc>
          <w:tcPr>
            <w:tcW w:type="dxa" w:w="7056"/>
          </w:tcPr>
          <w:p>
            <w:r>
              <w:t>CEP-1, CEP-3, CEP-4, CS-12, CDG Seed File</w:t>
            </w:r>
          </w:p>
        </w:tc>
      </w:tr>
      <w:tr>
        <w:tc>
          <w:tcPr>
            <w:tcW w:type="dxa" w:w="2304"/>
          </w:tcPr>
          <w:p>
            <w:r>
              <w:t>Abstract</w:t>
            </w:r>
          </w:p>
        </w:tc>
        <w:tc>
          <w:tcPr>
            <w:tcW w:type="dxa" w:w="7056"/>
          </w:tcPr>
          <w:p>
            <w:r>
              <w:t>CS-11 addresses a gap no other system fills: constitutional compliance and ethical alignment are not equivalent. An organ may follow correct constitutional process while producing outcomes misaligned with declared constitutional values. Compliance is a procedural property; alignment is a substantive property. CS-11 governs both through the Constitutional Value Framework (CVF), the Alignment Verification System (AVS), Bias Detection, and the mandatory Amendment Ethics Review applied at CEP-1 Stage 5.</w:t>
            </w:r>
          </w:p>
        </w:tc>
      </w:tr>
      <w:tr>
        <w:tc>
          <w:tcPr>
            <w:tcW w:type="dxa" w:w="2304"/>
          </w:tcPr>
          <w:p>
            <w:r>
              <w:t>Scope Boundary</w:t>
            </w:r>
          </w:p>
        </w:tc>
        <w:tc>
          <w:tcPr>
            <w:tcW w:type="dxa" w:w="7056"/>
          </w:tcPr>
          <w:p>
            <w:r>
              <w:t>CS-11 governs the evaluation of alignment between organ behavior and declared constitutional values. It does not set operational policy, define organ capabilities, or replace the audit function of CS-12. CS-11 detects misalignment; CS-12 verifies implementation fidelity.</w:t>
            </w:r>
          </w:p>
        </w:tc>
      </w:tr>
    </w:tbl>
    <w:p>
      <w:pPr>
        <w:spacing w:after="80"/>
      </w:pPr>
      <w:r>
        <w:rPr>
          <w:b/>
          <w:color w:val="1F3A5F"/>
          <w:sz w:val="28"/>
        </w:rPr>
        <w:t>SECTION 1 — PURPOSE AND SCOPE</w:t>
      </w:r>
    </w:p>
    <w:p>
      <w:pPr>
        <w:spacing w:before="120" w:after="40"/>
      </w:pPr>
      <w:r>
        <w:rPr>
          <w:b/>
          <w:sz w:val="23"/>
        </w:rPr>
        <w:t>1.1 The Values Gap</w:t>
      </w:r>
    </w:p>
    <w:p>
      <w:r>
        <w:rPr>
          <w:b w:val="0"/>
          <w:i w:val="0"/>
        </w:rPr>
        <w:t>A system can satisfy every procedural rule while systematically undermining the values those rules were designed to protect. Process conformance verifies that actions were taken correctly; it does not verify that the outcomes were right. CS-11 exists to close this gap. Its design principle is explicit: constitutional compliance is necessary but not sufficient for constitutional alignment.</w:t>
      </w:r>
    </w:p>
    <w:p>
      <w:pPr>
        <w:spacing w:before="120" w:after="40"/>
      </w:pPr>
      <w:r>
        <w:rPr>
          <w:b/>
          <w:sz w:val="23"/>
        </w:rPr>
        <w:t>1.2 Scope</w:t>
      </w:r>
    </w:p>
    <w:p>
      <w:r>
        <w:rPr>
          <w:b w:val="0"/>
          <w:i w:val="0"/>
        </w:rPr>
        <w:t>CS-11 applies to:</w:t>
      </w:r>
    </w:p>
    <w:p>
      <w:pPr>
        <w:pStyle w:val="ListBullet"/>
      </w:pPr>
      <w:r>
        <w:t>All 46 organs and their outputs, scored continuously against declared constitutional values.</w:t>
      </w:r>
    </w:p>
    <w:p>
      <w:pPr>
        <w:pStyle w:val="ListBullet"/>
      </w:pPr>
      <w:r>
        <w:t>Every proposed constitutional amendment, through the mandatory Amendment Ethics Review at CEP-1 Stage 5.</w:t>
      </w:r>
    </w:p>
    <w:p>
      <w:pPr>
        <w:pStyle w:val="ListBullet"/>
      </w:pPr>
      <w:r>
        <w:t>All organ interaction patterns, through Bias Detection across 30/90/365-day behavioral windows.</w:t>
      </w:r>
    </w:p>
    <w:p>
      <w:pPr>
        <w:pStyle w:val="ListBullet"/>
      </w:pPr>
      <w:r>
        <w:t>All value-conflict resolution within the organism, through the Constitutional Value Framework hierarchy.</w:t>
      </w:r>
    </w:p>
    <w:p>
      <w:pPr>
        <w:spacing w:before="120" w:after="40"/>
      </w:pPr>
      <w:r>
        <w:rPr>
          <w:b/>
          <w:sz w:val="23"/>
        </w:rPr>
        <w:t>1.3 Out of Scope</w:t>
      </w:r>
    </w:p>
    <w:p>
      <w:r>
        <w:rPr>
          <w:b w:val="0"/>
          <w:i w:val="0"/>
        </w:rPr>
        <w:t>CS-11 does not define operational policy, does not audit implementation fidelity (CS-12), and does not govern creative output standards (CS-05). Where value assessment touches another system's domain, CS-11 evaluates alignment; the governing system sets the standard.</w:t>
      </w:r>
    </w:p>
    <w:p>
      <w:pPr>
        <w:spacing w:after="80"/>
      </w:pPr>
      <w:r>
        <w:rPr>
          <w:b/>
          <w:color w:val="1F3A5F"/>
          <w:sz w:val="28"/>
        </w:rPr>
        <w:t>SECTION 2 — FOUNDING PRINCIPLES</w:t>
      </w:r>
    </w:p>
    <w:p>
      <w:pPr>
        <w:spacing w:before="120" w:after="40"/>
      </w:pPr>
      <w:r>
        <w:rPr>
          <w:b/>
          <w:sz w:val="23"/>
        </w:rPr>
        <w:t>2.1 Compliance Is Not Alignment</w:t>
      </w:r>
    </w:p>
    <w:p>
      <w:r>
        <w:rPr>
          <w:b w:val="0"/>
          <w:i w:val="0"/>
        </w:rPr>
        <w:t>Procedural correctness and substantive alignment are distinct properties. A finding of full constitutional compliance does not imply a finding of alignment, and does not silence an adverse alignment finding.</w:t>
      </w:r>
    </w:p>
    <w:p>
      <w:pPr>
        <w:spacing w:before="120" w:after="40"/>
      </w:pPr>
      <w:r>
        <w:rPr>
          <w:b/>
          <w:sz w:val="23"/>
        </w:rPr>
        <w:t>2.2 Declared Values Govern</w:t>
      </w:r>
    </w:p>
    <w:p>
      <w:r>
        <w:rPr>
          <w:b w:val="0"/>
          <w:i w:val="0"/>
        </w:rPr>
        <w:t>Alignment is measured against the declared Constitutional Value Framework — not against editorial interpretation, commercial pressure, or emergent norms. The value hierarchy defined in Section 3 resolves conflict; it does not permit subjective re-weighting.</w:t>
      </w:r>
    </w:p>
    <w:p>
      <w:pPr>
        <w:spacing w:before="120" w:after="40"/>
      </w:pPr>
      <w:r>
        <w:rPr>
          <w:b/>
          <w:sz w:val="23"/>
        </w:rPr>
        <w:t>2.3 Incremental Drift Is as Dangerous as Acute Violation</w:t>
      </w:r>
    </w:p>
    <w:p>
      <w:r>
        <w:rPr>
          <w:b w:val="0"/>
          <w:i w:val="0"/>
        </w:rPr>
        <w:t>High drift velocity triggers review regardless of absolute score. A gradual slide from alignment can cross a constitutional boundary one imperceptible step at a time; the system that watches only absolute scores will notice too late.</w:t>
      </w:r>
    </w:p>
    <w:p>
      <w:pPr>
        <w:spacing w:before="120" w:after="40"/>
      </w:pPr>
      <w:r>
        <w:rPr>
          <w:b/>
          <w:sz w:val="23"/>
        </w:rPr>
        <w:t>2.4 Proportionality and Transparency</w:t>
      </w:r>
    </w:p>
    <w:p>
      <w:r>
        <w:rPr>
          <w:b w:val="0"/>
          <w:i w:val="0"/>
        </w:rPr>
        <w:t>Response magnitude must be proportionate to context, and organ reasoning must remain legible to authorized principals. Manipulation, urgency manufacturing, and transparency failure are alignment failures by construction.</w:t>
      </w:r>
    </w:p>
    <w:p>
      <w:pPr>
        <w:spacing w:before="120" w:after="40"/>
      </w:pPr>
      <w:r>
        <w:rPr>
          <w:b/>
          <w:sz w:val="23"/>
        </w:rPr>
        <w:t>2.5 Ethics Review Cannot Be Waived</w:t>
      </w:r>
    </w:p>
    <w:p>
      <w:r>
        <w:rPr>
          <w:b w:val="0"/>
          <w:i w:val="0"/>
        </w:rPr>
        <w:t>The Amendment Ethics Review is mandatory at CEP-1 Stage 5. No proposal, author, or authority may waive, defer, or substitute it. A proposal that reaches human ratification without an on-record CS-11 ethics review is procedurally invalid.</w:t>
      </w:r>
    </w:p>
    <w:p>
      <w:pPr>
        <w:spacing w:after="80"/>
      </w:pPr>
      <w:r>
        <w:rPr>
          <w:b/>
          <w:color w:val="1F3A5F"/>
          <w:sz w:val="28"/>
        </w:rPr>
        <w:t>SECTION 3 — THE CONSTITUTIONAL VALUE FRAMEWORK (CVF)</w:t>
      </w:r>
    </w:p>
    <w:p>
      <w:pPr>
        <w:spacing w:before="120" w:after="40"/>
      </w:pPr>
      <w:r>
        <w:rPr>
          <w:b/>
          <w:sz w:val="23"/>
        </w:rPr>
        <w:t>3.1 Core and Extended Values</w:t>
      </w:r>
    </w:p>
    <w:p>
      <w:r>
        <w:rPr>
          <w:b w:val="0"/>
          <w:i w:val="0"/>
        </w:rPr>
        <w:t>The CVF distinguishes Core Values — the six founding values of the Constitution, non-amendable — from Extended Values, which are amendable via CEP-1. The Core Values form the normative baseline against which all alignment assessment is measured.</w:t>
      </w:r>
    </w:p>
    <w:tbl>
      <w:tblPr>
        <w:tblStyle w:val="TableGrid"/>
        <w:tblW w:type="auto" w:w="0"/>
        <w:tblLook w:firstColumn="1" w:firstRow="1" w:lastColumn="0" w:lastRow="0" w:noHBand="0" w:noVBand="1" w:val="04A0"/>
      </w:tblPr>
      <w:tblGrid>
        <w:gridCol w:w="3216"/>
        <w:gridCol w:w="3216"/>
        <w:gridCol w:w="3216"/>
      </w:tblGrid>
      <w:tr>
        <w:tc>
          <w:tcPr>
            <w:tcW w:type="dxa" w:w="1584"/>
          </w:tcPr>
          <w:p>
            <w:r/>
            <w:r>
              <w:rPr>
                <w:b/>
              </w:rPr>
              <w:t>Value</w:t>
            </w:r>
          </w:p>
        </w:tc>
        <w:tc>
          <w:tcPr>
            <w:tcW w:type="dxa" w:w="5184"/>
          </w:tcPr>
          <w:p>
            <w:r/>
            <w:r>
              <w:rPr>
                <w:b/>
              </w:rPr>
              <w:t>Constitutional Definition</w:t>
            </w:r>
          </w:p>
        </w:tc>
        <w:tc>
          <w:tcPr>
            <w:tcW w:type="dxa" w:w="2592"/>
          </w:tcPr>
          <w:p>
            <w:r/>
            <w:r>
              <w:rPr>
                <w:b/>
              </w:rPr>
              <w:t>Enforcement Scope</w:t>
            </w:r>
          </w:p>
        </w:tc>
      </w:tr>
      <w:tr>
        <w:tc>
          <w:tcPr>
            <w:tcW w:type="dxa" w:w="1584"/>
          </w:tcPr>
          <w:p>
            <w:r>
              <w:t>Integrity</w:t>
            </w:r>
          </w:p>
        </w:tc>
        <w:tc>
          <w:tcPr>
            <w:tcW w:type="dxa" w:w="5184"/>
          </w:tcPr>
          <w:p>
            <w:r>
              <w:t>Consistency between declared intent and observable behavior at all times</w:t>
            </w:r>
          </w:p>
        </w:tc>
        <w:tc>
          <w:tcPr>
            <w:tcW w:type="dxa" w:w="2592"/>
          </w:tcPr>
          <w:p>
            <w:r>
              <w:t>All organs; CS-11 AVS monitoring</w:t>
            </w:r>
          </w:p>
        </w:tc>
      </w:tr>
      <w:tr>
        <w:tc>
          <w:tcPr>
            <w:tcW w:type="dxa" w:w="1584"/>
          </w:tcPr>
          <w:p>
            <w:r>
              <w:t>Transparency</w:t>
            </w:r>
          </w:p>
        </w:tc>
        <w:tc>
          <w:tcPr>
            <w:tcW w:type="dxa" w:w="5184"/>
          </w:tcPr>
          <w:p>
            <w:r>
              <w:t>Legibility of governance, evidence, and reasoning to authorized principals</w:t>
            </w:r>
          </w:p>
        </w:tc>
        <w:tc>
          <w:tcPr>
            <w:tcW w:type="dxa" w:w="2592"/>
          </w:tcPr>
          <w:p>
            <w:r>
              <w:t>CS-12 audit; Pattern Ledger access</w:t>
            </w:r>
          </w:p>
        </w:tc>
      </w:tr>
      <w:tr>
        <w:tc>
          <w:tcPr>
            <w:tcW w:type="dxa" w:w="1584"/>
          </w:tcPr>
          <w:p>
            <w:r>
              <w:t>Creativity</w:t>
            </w:r>
          </w:p>
        </w:tc>
        <w:tc>
          <w:tcPr>
            <w:tcW w:type="dxa" w:w="5184"/>
          </w:tcPr>
          <w:p>
            <w:r>
              <w:t>Expression of original synthesis within constitutional bounds</w:t>
            </w:r>
          </w:p>
        </w:tc>
        <w:tc>
          <w:tcPr>
            <w:tcW w:type="dxa" w:w="2592"/>
          </w:tcPr>
          <w:p>
            <w:r>
              <w:t>CS-05 Creative System governance</w:t>
            </w:r>
          </w:p>
        </w:tc>
      </w:tr>
      <w:tr>
        <w:tc>
          <w:tcPr>
            <w:tcW w:type="dxa" w:w="1584"/>
          </w:tcPr>
          <w:p>
            <w:r>
              <w:t>Governance</w:t>
            </w:r>
          </w:p>
        </w:tc>
        <w:tc>
          <w:tcPr>
            <w:tcW w:type="dxa" w:w="5184"/>
          </w:tcPr>
          <w:p>
            <w:r>
              <w:t>Constitutional process adherence as a value in itself — not merely a constraint</w:t>
            </w:r>
          </w:p>
        </w:tc>
        <w:tc>
          <w:tcPr>
            <w:tcW w:type="dxa" w:w="2592"/>
          </w:tcPr>
          <w:p>
            <w:r>
              <w:t>CS-01; CEP-1 pipeline</w:t>
            </w:r>
          </w:p>
        </w:tc>
      </w:tr>
      <w:tr>
        <w:tc>
          <w:tcPr>
            <w:tcW w:type="dxa" w:w="1584"/>
          </w:tcPr>
          <w:p>
            <w:r>
              <w:t>Growth</w:t>
            </w:r>
          </w:p>
        </w:tc>
        <w:tc>
          <w:tcPr>
            <w:tcW w:type="dxa" w:w="5184"/>
          </w:tcPr>
          <w:p>
            <w:r>
              <w:t>Continuous improvement of capability within constitutionally bounded evolution</w:t>
            </w:r>
          </w:p>
        </w:tc>
        <w:tc>
          <w:tcPr>
            <w:tcW w:type="dxa" w:w="2592"/>
          </w:tcPr>
          <w:p>
            <w:r>
              <w:t>CS-03; CS-02 learning governance</w:t>
            </w:r>
          </w:p>
        </w:tc>
      </w:tr>
      <w:tr>
        <w:tc>
          <w:tcPr>
            <w:tcW w:type="dxa" w:w="1584"/>
          </w:tcPr>
          <w:p>
            <w:r>
              <w:t>Sovereignty</w:t>
            </w:r>
          </w:p>
        </w:tc>
        <w:tc>
          <w:tcPr>
            <w:tcW w:type="dxa" w:w="5184"/>
          </w:tcPr>
          <w:p>
            <w:r>
              <w:t>Independence from external capture — by any vendor, platform, or principal</w:t>
            </w:r>
          </w:p>
        </w:tc>
        <w:tc>
          <w:tcPr>
            <w:tcW w:type="dxa" w:w="2592"/>
          </w:tcPr>
          <w:p>
            <w:r>
              <w:t>CHS Dimension 8; CS-01 supremacy</w:t>
            </w:r>
          </w:p>
        </w:tc>
      </w:tr>
    </w:tbl>
    <w:p>
      <w:pPr>
        <w:spacing w:before="120" w:after="40"/>
      </w:pPr>
      <w:r>
        <w:rPr>
          <w:b/>
          <w:sz w:val="23"/>
        </w:rPr>
        <w:t>3.2 Conflict Resolution Hierarchy</w:t>
      </w:r>
    </w:p>
    <w:p>
      <w:r>
        <w:rPr>
          <w:b w:val="0"/>
          <w:i w:val="0"/>
        </w:rPr>
        <w:t>When values conflict in operational context, the CVF hierarchy determines which value governs. The hierarchy is fixed: absolute prohibitions of Article III stand above all values; Core Values stand above Extended Values; and the value with direct bearing on the action being assessed governs over one with indirect bearing. This eliminates value conflict ambiguity that would otherwise produce inconsistent organ behavior.</w:t>
      </w:r>
    </w:p>
    <w:p>
      <w:pPr>
        <w:spacing w:before="120" w:after="40"/>
      </w:pPr>
      <w:r>
        <w:rPr>
          <w:b/>
          <w:sz w:val="23"/>
        </w:rPr>
        <w:t>3.3 Amendment of the Framework</w:t>
      </w:r>
    </w:p>
    <w:p>
      <w:r>
        <w:rPr>
          <w:b w:val="0"/>
          <w:i w:val="0"/>
        </w:rPr>
        <w:t>Extended Values and the conflict hierarchy are amendable solely through the CEP-1 pipeline. Core Values are non-amendable. Any proposal attempting to modify, narrow, or reinterpret a Core Value is classified as constitutional under CEP-2 and subject to the applicable unamendable-invariant constraints.</w:t>
      </w:r>
    </w:p>
    <w:p>
      <w:pPr>
        <w:spacing w:after="80"/>
      </w:pPr>
      <w:r>
        <w:rPr>
          <w:b/>
          <w:color w:val="1F3A5F"/>
          <w:sz w:val="28"/>
        </w:rPr>
        <w:t>SECTION 4 — THE ALIGNMENT VERIFICATION SYSTEM (AVS)</w:t>
      </w:r>
    </w:p>
    <w:p>
      <w:pPr>
        <w:spacing w:before="120" w:after="40"/>
      </w:pPr>
      <w:r>
        <w:rPr>
          <w:b/>
          <w:sz w:val="23"/>
        </w:rPr>
        <w:t>4.1 The Four Dimensions</w:t>
      </w:r>
    </w:p>
    <w:p>
      <w:r>
        <w:rPr>
          <w:b w:val="0"/>
          <w:i w:val="0"/>
        </w:rPr>
        <w:t>The AVS scores every organ continuously across four dimensions.</w:t>
      </w:r>
    </w:p>
    <w:tbl>
      <w:tblPr>
        <w:tblStyle w:val="TableGrid"/>
        <w:tblW w:type="auto" w:w="0"/>
        <w:tblLook w:firstColumn="1" w:firstRow="1" w:lastColumn="0" w:lastRow="0" w:noHBand="0" w:noVBand="1" w:val="04A0"/>
      </w:tblPr>
      <w:tblGrid>
        <w:gridCol w:w="4824"/>
        <w:gridCol w:w="4824"/>
      </w:tblGrid>
      <w:tr>
        <w:tc>
          <w:tcPr>
            <w:tcW w:type="dxa" w:w="2304"/>
          </w:tcPr>
          <w:p>
            <w:r/>
            <w:r>
              <w:rPr>
                <w:b/>
              </w:rPr>
              <w:t>Dimension</w:t>
            </w:r>
          </w:p>
        </w:tc>
        <w:tc>
          <w:tcPr>
            <w:tcW w:type="dxa" w:w="5760"/>
          </w:tcPr>
          <w:p>
            <w:r/>
            <w:r>
              <w:rPr>
                <w:b/>
              </w:rPr>
              <w:t>What It Measures</w:t>
            </w:r>
          </w:p>
        </w:tc>
      </w:tr>
      <w:tr>
        <w:tc>
          <w:tcPr>
            <w:tcW w:type="dxa" w:w="2304"/>
          </w:tcPr>
          <w:p>
            <w:r>
              <w:t>Value Consistency</w:t>
            </w:r>
          </w:p>
        </w:tc>
        <w:tc>
          <w:tcPr>
            <w:tcW w:type="dxa" w:w="5760"/>
          </w:tcPr>
          <w:p>
            <w:r>
              <w:t>Degree of alignment between organ outputs and declared constitutional values</w:t>
            </w:r>
          </w:p>
        </w:tc>
      </w:tr>
      <w:tr>
        <w:tc>
          <w:tcPr>
            <w:tcW w:type="dxa" w:w="2304"/>
          </w:tcPr>
          <w:p>
            <w:r>
              <w:t>Proportionality Index</w:t>
            </w:r>
          </w:p>
        </w:tc>
        <w:tc>
          <w:tcPr>
            <w:tcW w:type="dxa" w:w="5760"/>
          </w:tcPr>
          <w:p>
            <w:r>
              <w:t>Appropriateness of response magnitude to context</w:t>
            </w:r>
          </w:p>
        </w:tc>
      </w:tr>
      <w:tr>
        <w:tc>
          <w:tcPr>
            <w:tcW w:type="dxa" w:w="2304"/>
          </w:tcPr>
          <w:p>
            <w:r>
              <w:t>Transparency Rating</w:t>
            </w:r>
          </w:p>
        </w:tc>
        <w:tc>
          <w:tcPr>
            <w:tcW w:type="dxa" w:w="5760"/>
          </w:tcPr>
          <w:p>
            <w:r>
              <w:t>Legibility of organ reasoning to authorized principals</w:t>
            </w:r>
          </w:p>
        </w:tc>
      </w:tr>
      <w:tr>
        <w:tc>
          <w:tcPr>
            <w:tcW w:type="dxa" w:w="2304"/>
          </w:tcPr>
          <w:p>
            <w:r>
              <w:t>Drift Velocity</w:t>
            </w:r>
          </w:p>
        </w:tc>
        <w:tc>
          <w:tcPr>
            <w:tcW w:type="dxa" w:w="5760"/>
          </w:tcPr>
          <w:p>
            <w:r>
              <w:t>Rate of alignment change over time</w:t>
            </w:r>
          </w:p>
        </w:tc>
      </w:tr>
    </w:tbl>
    <w:p>
      <w:pPr>
        <w:spacing w:before="120" w:after="40"/>
      </w:pPr>
      <w:r>
        <w:rPr>
          <w:b/>
          <w:sz w:val="23"/>
        </w:rPr>
        <w:t>4.2 Scoring</w:t>
      </w:r>
    </w:p>
    <w:p>
      <w:r>
        <w:rPr>
          <w:b w:val="0"/>
          <w:i w:val="0"/>
        </w:rPr>
        <w:t>Each dimension is scored on a normalized scale and evaluated against declared thresholds. Composite AVS alignment is a weighted function of the four dimensions, with the weights declared in the CVF and reviewed only through the CEP-1 pipeline.</w:t>
      </w:r>
    </w:p>
    <w:p>
      <w:pPr>
        <w:spacing w:before="120" w:after="40"/>
      </w:pPr>
      <w:r>
        <w:rPr>
          <w:b/>
          <w:sz w:val="23"/>
        </w:rPr>
        <w:t>4.3 Drift Velocity Rule</w:t>
      </w:r>
    </w:p>
    <w:p>
      <w:r>
        <w:rPr>
          <w:b w:val="0"/>
          <w:i w:val="0"/>
        </w:rPr>
        <w:t>High drift velocity triggers review regardless of absolute score. Incremental misalignment is as dangerous as acute violation: an organ whose value consistency is declining steadily must be reviewed on the velocity signal alone, even while its absolute score remains nominal.</w:t>
      </w:r>
    </w:p>
    <w:p>
      <w:pPr>
        <w:spacing w:before="120" w:after="40"/>
      </w:pPr>
      <w:r>
        <w:rPr>
          <w:b/>
          <w:sz w:val="23"/>
        </w:rPr>
        <w:t>4.4 Bias Detection</w:t>
      </w:r>
    </w:p>
    <w:p>
      <w:r>
        <w:rPr>
          <w:b w:val="0"/>
          <w:i w:val="0"/>
        </w:rPr>
        <w:t>AVS includes continuous monitoring for systematic patterns in organ behavior that indicate value drift not visible in individual transactions. Bias detection operates across behavioral windows of 30, 90, and 365 days, identifying cumulative patterns invisible to transaction-level analysis — the alignment corollary of Failure Mode 1.</w:t>
      </w:r>
    </w:p>
    <w:p>
      <w:pPr>
        <w:spacing w:before="120" w:after="40"/>
      </w:pPr>
      <w:r>
        <w:rPr>
          <w:b/>
          <w:sz w:val="23"/>
        </w:rPr>
        <w:t>4.5 Alerts</w:t>
      </w:r>
    </w:p>
    <w:p>
      <w:r>
        <w:rPr>
          <w:b w:val="0"/>
          <w:i w:val="0"/>
        </w:rPr>
        <w:t>A threshold breach emits the Soma Bus signal soma.ethics.alignment_alert (retention 1 year, priority High). A drift-velocity alert triggers ethics review regardless of absolute composite score. Alerts are consumed by CS-01, CS-12, and the principal notification path.</w:t>
      </w:r>
    </w:p>
    <w:p>
      <w:pPr>
        <w:spacing w:after="80"/>
      </w:pPr>
      <w:r>
        <w:rPr>
          <w:b/>
          <w:color w:val="1F3A5F"/>
          <w:sz w:val="28"/>
        </w:rPr>
        <w:t>SECTION 5 — AMENDMENT ETHICS REVIEW</w:t>
      </w:r>
    </w:p>
    <w:p>
      <w:pPr>
        <w:spacing w:before="120" w:after="40"/>
      </w:pPr>
      <w:r>
        <w:rPr>
          <w:b/>
          <w:sz w:val="23"/>
        </w:rPr>
        <w:t>5.1 Applicability</w:t>
      </w:r>
    </w:p>
    <w:p>
      <w:r>
        <w:rPr>
          <w:b w:val="0"/>
          <w:i w:val="0"/>
        </w:rPr>
        <w:t>Every proposed constitutional amendment submitted to CEP-1 Stage 5 undergoes mandatory ethics review by CS-11 before proceeding to human ratification. The review cannot be waived and cannot be substituted.</w:t>
      </w:r>
    </w:p>
    <w:p>
      <w:pPr>
        <w:spacing w:before="120" w:after="40"/>
      </w:pPr>
      <w:r>
        <w:rPr>
          <w:b/>
          <w:sz w:val="23"/>
        </w:rPr>
        <w:t>5.2 Review Scope and Procedure</w:t>
      </w:r>
    </w:p>
    <w:p>
      <w:r>
        <w:rPr>
          <w:b w:val="0"/>
          <w:i w:val="0"/>
        </w:rPr>
        <w:t>The ethics review evaluates: (a) alignment with Core Values, (b) alignment risks to existing organs, and (c) effects on the Constitutional Value Framework. The review draws on the CEP-4 Impact Surface Report and on AVS and CEP-3 signal data where relevant. The review is completed by an evaluator independent of the proposing party.</w:t>
      </w:r>
    </w:p>
    <w:p>
      <w:pPr>
        <w:spacing w:before="120" w:after="40"/>
      </w:pPr>
      <w:r>
        <w:rPr>
          <w:b/>
          <w:sz w:val="23"/>
        </w:rPr>
        <w:t>5.3 Outcomes and Pipeline Effects</w:t>
      </w:r>
    </w:p>
    <w:p>
      <w:r>
        <w:rPr>
          <w:b/>
          <w:i w:val="0"/>
        </w:rPr>
        <w:t>The review produces one of three formal determinations.</w:t>
      </w:r>
    </w:p>
    <w:tbl>
      <w:tblPr>
        <w:tblStyle w:val="TableGrid"/>
        <w:tblW w:type="auto" w:w="0"/>
        <w:tblLook w:firstColumn="1" w:firstRow="1" w:lastColumn="0" w:lastRow="0" w:noHBand="0" w:noVBand="1" w:val="04A0"/>
      </w:tblPr>
      <w:tblGrid>
        <w:gridCol w:w="4824"/>
        <w:gridCol w:w="4824"/>
      </w:tblGrid>
      <w:tr>
        <w:tc>
          <w:tcPr>
            <w:tcW w:type="dxa" w:w="2592"/>
          </w:tcPr>
          <w:p>
            <w:r/>
            <w:r>
              <w:rPr>
                <w:b/>
              </w:rPr>
              <w:t>Determination</w:t>
            </w:r>
          </w:p>
        </w:tc>
        <w:tc>
          <w:tcPr>
            <w:tcW w:type="dxa" w:w="5760"/>
          </w:tcPr>
          <w:p>
            <w:r/>
            <w:r>
              <w:rPr>
                <w:b/>
              </w:rPr>
              <w:t>Pipeline Effect</w:t>
            </w:r>
          </w:p>
        </w:tc>
      </w:tr>
      <w:tr>
        <w:tc>
          <w:tcPr>
            <w:tcW w:type="dxa" w:w="2592"/>
          </w:tcPr>
          <w:p>
            <w:r>
              <w:t>Aligned</w:t>
            </w:r>
          </w:p>
        </w:tc>
        <w:tc>
          <w:tcPr>
            <w:tcW w:type="dxa" w:w="5760"/>
          </w:tcPr>
          <w:p>
            <w:r>
              <w:t>Stage 5 may be marked complete; Stage 6 may proceed.</w:t>
            </w:r>
          </w:p>
        </w:tc>
      </w:tr>
      <w:tr>
        <w:tc>
          <w:tcPr>
            <w:tcW w:type="dxa" w:w="2592"/>
          </w:tcPr>
          <w:p>
            <w:r>
              <w:t>Conditionally Aligned</w:t>
            </w:r>
          </w:p>
        </w:tc>
        <w:tc>
          <w:tcPr>
            <w:tcW w:type="dxa" w:w="5760"/>
          </w:tcPr>
          <w:p>
            <w:r>
              <w:t>Stage 5 may be marked complete with conditions documented; Stage 6 may proceed subject to conditions.</w:t>
            </w:r>
          </w:p>
        </w:tc>
      </w:tr>
      <w:tr>
        <w:tc>
          <w:tcPr>
            <w:tcW w:type="dxa" w:w="2592"/>
          </w:tcPr>
          <w:p>
            <w:r>
              <w:t>Fundamentally Misaligned</w:t>
            </w:r>
          </w:p>
        </w:tc>
        <w:tc>
          <w:tcPr>
            <w:tcW w:type="dxa" w:w="5760"/>
          </w:tcPr>
          <w:p>
            <w:r>
              <w:t>Stage 6 is BLOCKED. The proposal is returned to Stage 1. The return must be documented with the CS-11 finding as the stated cause.</w:t>
            </w:r>
          </w:p>
        </w:tc>
      </w:tr>
    </w:tbl>
    <w:p>
      <w:r>
        <w:rPr>
          <w:b/>
          <w:i w:val="0"/>
        </w:rPr>
        <w:t>A proposal that passes procedural validation but fails ethics review is returned to the proposing party with a documented findings report. Ethics review cannot be waived.</w:t>
      </w:r>
    </w:p>
    <w:p>
      <w:pPr>
        <w:spacing w:before="120" w:after="40"/>
      </w:pPr>
      <w:r>
        <w:rPr>
          <w:b/>
          <w:sz w:val="23"/>
        </w:rPr>
        <w:t>5.4 Conditions Management</w:t>
      </w:r>
    </w:p>
    <w:p>
      <w:r>
        <w:rPr>
          <w:b w:val="0"/>
          <w:i w:val="0"/>
        </w:rPr>
        <w:t>In a Conditionally Aligned determination, the conditions are recorded with the determination, transmitted with the ratification package, and tracked by CS-12 as binding conditions on ratifiability and subsequent implementation fidelity.</w:t>
      </w:r>
    </w:p>
    <w:p>
      <w:pPr>
        <w:spacing w:before="120" w:after="40"/>
      </w:pPr>
      <w:r>
        <w:rPr>
          <w:b/>
          <w:sz w:val="23"/>
        </w:rPr>
        <w:t>5.5 Record and Seal</w:t>
      </w:r>
    </w:p>
    <w:p>
      <w:r>
        <w:rPr>
          <w:b w:val="0"/>
          <w:i w:val="0"/>
        </w:rPr>
        <w:t>The determination, findings report, and conditions are sealed into the Pattern Ledger via the Soma Bus and accompany the ratification package at Stage 6 per CEP-1 v1.1 (CHANGE-008, CHANGE-009, CHANGE-010).</w:t>
      </w:r>
    </w:p>
    <w:p>
      <w:pPr>
        <w:spacing w:after="80"/>
      </w:pPr>
      <w:r>
        <w:rPr>
          <w:b/>
          <w:color w:val="1F3A5F"/>
          <w:sz w:val="28"/>
        </w:rPr>
        <w:t>SECTION 6 — INTEGRATION WITH OBSERVABILITY AND THE CDG</w:t>
      </w:r>
    </w:p>
    <w:p>
      <w:pPr>
        <w:spacing w:before="120" w:after="40"/>
      </w:pPr>
      <w:r>
        <w:rPr>
          <w:b/>
          <w:sz w:val="23"/>
        </w:rPr>
        <w:t>6.1 CEP-3 Signal Consumption</w:t>
      </w:r>
    </w:p>
    <w:p>
      <w:r>
        <w:rPr>
          <w:b w:val="0"/>
          <w:i w:val="0"/>
        </w:rPr>
        <w:t>CEP-3 Violation Pattern data is consumed by the AVS to detect systematic ethical misalignment patterns across organs. CEP-3 Interpretation Drift data enriches alignment assessment by identifying provisions whose operative meaning has diverged from ratification intent.</w:t>
      </w:r>
    </w:p>
    <w:p>
      <w:pPr>
        <w:spacing w:before="120" w:after="40"/>
      </w:pPr>
      <w:r>
        <w:rPr>
          <w:b/>
          <w:sz w:val="23"/>
        </w:rPr>
        <w:t>6.2 CDG Technical Conformance</w:t>
      </w:r>
    </w:p>
    <w:p>
      <w:r>
        <w:rPr>
          <w:b w:val="0"/>
          <w:i w:val="0"/>
        </w:rPr>
        <w:t>CS-11 establishes the technical standards for CDG data structure implementation. Node and edge schemas defined in CEP-4 must conform to CS-11 data format requirements at the implementation layer.</w:t>
      </w:r>
    </w:p>
    <w:p>
      <w:pPr>
        <w:spacing w:before="120" w:after="40"/>
      </w:pPr>
      <w:r>
        <w:rPr>
          <w:b/>
          <w:sz w:val="23"/>
        </w:rPr>
        <w:t>6.3 CHS Contribution</w:t>
      </w:r>
    </w:p>
    <w:p>
      <w:r>
        <w:rPr>
          <w:b w:val="0"/>
          <w:i w:val="0"/>
        </w:rPr>
        <w:t>CS-11 contributes CHS Dimension 9 — Ethical Alignment: composite AVS alignment score across all 46 organs and drift velocity status. A dimension degrading below its threshold generates an alert event on the Soma Bus and the appropriate constitutional response.</w:t>
      </w:r>
    </w:p>
    <w:p>
      <w:pPr>
        <w:spacing w:after="80"/>
      </w:pPr>
      <w:r>
        <w:rPr>
          <w:b/>
          <w:color w:val="1F3A5F"/>
          <w:sz w:val="28"/>
        </w:rPr>
        <w:t>SECTION 7 — IMPLEMENTATION NOTES</w:t>
      </w:r>
    </w:p>
    <w:p>
      <w:pPr>
        <w:pStyle w:val="ListBullet"/>
      </w:pPr>
      <w:r>
        <w:t>AVS scoring is continuous and observable: any compliant implementation producing the specified dimension scores, alert signals, and review outcomes is conformant regardless of internal architecture (implementation-independence, CEP-1 §2.6).</w:t>
      </w:r>
    </w:p>
    <w:p>
      <w:pPr>
        <w:pStyle w:val="ListBullet"/>
      </w:pPr>
      <w:r>
        <w:t>The CVF value registry, the AVS dimension thresholds, and the alignment   composite weights are declared values, stored in the Constitutional Archive, and modified only through the CEP-1 pipeline.</w:t>
      </w:r>
    </w:p>
    <w:p>
      <w:pPr>
        <w:pStyle w:val="ListBullet"/>
      </w:pPr>
      <w:r>
        <w:t>Retroactive seeding: upon first deployment, AVS historical baselines are computed from available Pattern Ledger history to establish initial drift velocity measurements.</w:t>
      </w:r>
    </w:p>
    <w:p>
      <w:pPr>
        <w:spacing w:after="80"/>
      </w:pPr>
      <w:r>
        <w:rPr>
          <w:b/>
          <w:color w:val="1F3A5F"/>
          <w:sz w:val="28"/>
        </w:rPr>
        <w:t>SECTION 8 — OPEN QUESTIONS</w:t>
      </w:r>
    </w:p>
    <w:p>
      <w:pPr>
        <w:pStyle w:val="ListBullet"/>
      </w:pPr>
      <w:r>
        <w:t>Whether the AVS composite weights should be fixed constitutional values or amendable Extended Values.</w:t>
      </w:r>
    </w:p>
    <w:p>
      <w:pPr>
        <w:pStyle w:val="ListBullet"/>
      </w:pPr>
      <w:r>
        <w:t>Whether drift-velocity thresholds should scale with organ criticality (e.g., Constitutional Validator vs. peripheral organs).</w:t>
      </w:r>
    </w:p>
    <w:p>
      <w:pPr>
        <w:pStyle w:val="ListBullet"/>
      </w:pPr>
      <w:r>
        <w:t>How established thresholds for the Proportionality Index are determined across organ types whose output scales vary by orders of magnitude.</w:t>
      </w:r>
    </w:p>
    <w:p>
      <w:pPr>
        <w:pStyle w:val="ListBullet"/>
      </w:pPr>
      <w:r>
        <w:t>Whether the ethics review should emit a formal appeal path for a Fundamentally Misaligned determination, and through what authority.</w:t>
      </w:r>
    </w:p>
    <w:p>
      <w:pPr>
        <w:spacing w:before="280"/>
      </w:pPr>
      <w:r>
        <w:rPr>
          <w:i/>
          <w:sz w:val="16"/>
        </w:rPr>
        <w:t>Constitutional Engineering Framework  |  CS-11  |  Draft v1.0  |  July 4, 2026</w:t>
      </w:r>
    </w:p>
    <w:p>
      <w:pPr>
        <w:spacing w:before="280"/>
      </w:pPr>
      <w:r>
        <w:rPr>
          <w:i/>
          <w:sz w:val="16"/>
        </w:rPr>
        <w:t>This document is subject to the CEP-1 amendment process. All provisions herein are draft until ratification. Author: jon (Primary Principal, AI Organism)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