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Constitutional Enforcement Stack</w:t>
      </w:r>
    </w:p>
    <w:p>
      <w:pPr>
        <w:jc w:val="center"/>
      </w:pPr>
      <w:r>
        <w:t>AI Organism Governance — From Receipts to Attested Execution</w:t>
      </w:r>
    </w:p>
    <w:p>
      <w:pPr>
        <w:jc w:val="center"/>
      </w:pPr>
      <w:r>
        <w:t>Project Infinity / AAES-OS — August 2026</w:t>
        <w:br/>
        <w:t>Checkpoints: b9852d7 (port), caab105 (stack + laws), 79bdbb6 (dominance), e06c823 (14 sinks), bebdf1c (trust-root + attestation)</w:t>
      </w:r>
    </w:p>
    <w:p>
      <w:pPr>
        <w:pStyle w:val="Heading1"/>
      </w:pPr>
      <w:r>
        <w:t>Chapter 1 — Executive Summary</w:t>
      </w:r>
    </w:p>
    <w:p>
      <w:r>
        <w:rPr>
          <w:b w:val="0"/>
        </w:rPr>
        <w:t>This document consolidates the constitutional enforcement work built across the AI Organism (Project Infinity / AAIS) and the AAES-OS TypeScript spine. What began as a receipt-parity port became a full authority boundary: the organism can now seal evidence, judge its own mutations against canonical invariants, refuse unattested execution instances, and dominate every law-state write path in the codebase.</w:t>
      </w:r>
    </w:p>
    <w:p>
      <w:pPr>
        <w:pStyle w:val="ListBullet"/>
      </w:pPr>
      <w:r>
        <w:t>Cross-runtime determinism: Node (Sovereign-X) and Python issue byte-identical receipt ids.</w:t>
      </w:r>
    </w:p>
    <w:p>
      <w:pPr>
        <w:pStyle w:val="ListBullet"/>
      </w:pPr>
      <w:r>
        <w:t>Sink-level dominance: all 14 law registries refuse writes without CEN approval bound to the exact record.</w:t>
      </w:r>
    </w:p>
    <w:p>
      <w:pPr>
        <w:pStyle w:val="ListBullet"/>
      </w:pPr>
      <w:r>
        <w:t>INV-021 hard gate: law mutations require a VT authority token — no valid token, no state transition.</w:t>
      </w:r>
    </w:p>
    <w:p>
      <w:pPr>
        <w:pStyle w:val="ListBullet"/>
      </w:pPr>
      <w:r>
        <w:t>TOCTOU closure: commits execute only CEN-frozen approved objects, re-verified by hash.</w:t>
      </w:r>
    </w:p>
    <w:p>
      <w:pPr>
        <w:pStyle w:val="ListBullet"/>
      </w:pPr>
      <w:r>
        <w:t>Attested execution: gated commits demand a sealed trust root and a registered UCR instance.</w:t>
      </w:r>
    </w:p>
    <w:p>
      <w:r>
        <w:rPr>
          <w:b w:val="0"/>
        </w:rPr>
        <w:t>Two protocol laws are normative throughout: the Key Identity Law (keys are hashed exactly as given; camelCase and snake_case are distinct inputs) and the Value State Law (absent, null, empty string, empty array, and false are distinct protocol states). Both live in docs/contracts/ORGANISM_RECEIPT_CONTRACT.md.</w:t>
      </w:r>
    </w:p>
    <w:p>
      <w:pPr>
        <w:pStyle w:val="Heading1"/>
      </w:pPr>
      <w:r>
        <w:t>Chapter 2 — Organism Receipt Contract (organism_receipt.v1)</w:t>
      </w:r>
    </w:p>
    <w:p>
      <w:r>
        <w:rPr>
          <w:b w:val="0"/>
        </w:rPr>
        <w:t>One body, one law, one receipt. The unified organism receipt has seven required sections: organ, intent, decision, effect, evidence, replay, continuity.</w:t>
      </w:r>
    </w:p>
    <w:p>
      <w:pPr>
        <w:ind w:left="432"/>
      </w:pPr>
      <w:r>
        <w:rPr>
          <w:rFonts w:ascii="Consolas" w:hAnsi="Consolas"/>
          <w:sz w:val="18"/>
        </w:rPr>
        <w:t>receipt_id = "org:" + sha256( canonical_json( receipt_with_receipt_id_empty ) )</w:t>
      </w:r>
    </w:p>
    <w:p>
      <w:r>
        <w:rPr>
          <w:b w:val="0"/>
        </w:rPr>
        <w:t>Canonical form: sorted keys, no whitespace, UTF-8 raw unicode, deterministic re-derivation detects any post-issuance mutation.</w:t>
      </w:r>
    </w:p>
    <w:p>
      <w:pPr>
        <w:pStyle w:val="Heading2"/>
      </w:pPr>
      <w:r>
        <w:t>Key Identity Law</w:t>
      </w:r>
    </w:p>
    <w:p>
      <w:r>
        <w:rPr>
          <w:b w:val="0"/>
        </w:rPr>
        <w:t>Subject and receipt keys are hashed exactly as given. camelCase and snake_case are distinct hash inputs by design; no adapter layer may normalize casing before hashing. Changing normalization is a versioned protocol change (organism_receipt.v2) with dual-issue migration — never a cleanup.</w:t>
      </w:r>
    </w:p>
    <w:p>
      <w:pPr>
        <w:pStyle w:val="Heading2"/>
      </w:pPr>
      <w:r>
        <w:t>Value State Law</w:t>
      </w:r>
    </w:p>
    <w:p>
      <w:r>
        <w:rPr>
          <w:b w:val="0"/>
        </w:rPr>
        <w:t>Absent, null, empty string, empty array, and false are distinct protocol states. Empty optional fields hash their canonical form ('""' hashes as sha256 of two quote characters; '[]' as an empty JSON array) — never collapsed. TS ports must remember undefined is omitted by serialization while null is kept; Python has no undefined, so builders meaning 'absent' must not insert the key at all.</w:t>
      </w:r>
    </w:p>
    <w:p>
      <w:r>
        <w:rPr>
          <w:b w:val="0"/>
        </w:rPr>
        <w:t>Validator laws: seven sections required; no anonymous actors on accept outcomes; refusals are first-class evidence recording actor_class; outcomes are accept|reject|escalate; dialects are lirl|amul|nx-replay|infinity-trace.</w:t>
      </w:r>
    </w:p>
    <w:p>
      <w:r>
        <w:br w:type="page"/>
      </w:r>
    </w:p>
    <w:p>
      <w:pPr>
        <w:pStyle w:val="Heading1"/>
      </w:pPr>
      <w:r>
        <w:t>Chapter 3 — LIRL Receipt Parity</w:t>
      </w:r>
    </w:p>
    <w:p>
      <w:r>
        <w:rPr>
          <w:b w:val="0"/>
        </w:rPr>
        <w:t>src/organism_receipt.py maps LIRL stored evidence into organism_receipt.v1. The Sovereign-X Node adapter (src/lirl/organismReceipt.js) is the reference implementation; identical stored evidence must yield identical ids from both runtimes.</w:t>
      </w:r>
    </w:p>
    <w:p>
      <w:r>
        <w:rPr>
          <w:b w:val="0"/>
        </w:rPr>
        <w:t>A real parity bug was found and fixed during the port: with subjectHash or evidenceRefs absent, the Node adapter hashes the canonical empty value while Python originally collapsed to the empty string — breaking byte-for-byte identity. The fix passes '' through to the digest so Python hashes '""' and '[]' exactly like Node.</w:t>
      </w:r>
    </w:p>
    <w:p>
      <w:r>
        <w:rPr>
          <w:b w:val="0"/>
        </w:rPr>
        <w:t>Test coverage: four golden vectors (accept, anonymous-refusal, unicode, minimal-empty) with Node-generated golden ids hardcoded, tamper-evidence checks on every vector, unicode canonicalization parity, and a live cross-check against the Sovereign-X working clone when mounted.</w:t>
      </w:r>
    </w:p>
    <w:p>
      <w:pPr>
        <w:pStyle w:val="Heading1"/>
      </w:pPr>
      <w:r>
        <w:t>Chapter 4 — Evidence Receipts (AAES Spine)</w:t>
      </w:r>
    </w:p>
    <w:p>
      <w:r>
        <w:rPr>
          <w:b w:val="0"/>
        </w:rPr>
        <w:t>Sealed claims backing trust bundles: deterministic 'evidence:' receipt ids via sha3-256 over claim_label | subsystem | evidence_refs joined by comma | subject_hash, where the subject hash itself seals the stable-stringified subject.</w:t>
      </w:r>
    </w:p>
    <w:p>
      <w:pPr>
        <w:ind w:left="432"/>
      </w:pPr>
      <w:r>
        <w:rPr>
          <w:rFonts w:ascii="Consolas" w:hAnsi="Consolas"/>
          <w:sz w:val="18"/>
        </w:rPr>
        <w:t>subject_hash = "sha3-256:" + sha3_256( stable_stringify(subject) )</w:t>
        <w:br/>
        <w:t>receipt_id   = "evidence:" + sha3_256( claim|subsystem|refs|subject_hash )</w:t>
      </w:r>
    </w:p>
    <w:p>
      <w:r>
        <w:rPr>
          <w:b w:val="0"/>
        </w:rPr>
        <w:t>Receipt ids are intentionally time-independent: issued_at is provenance metadata, never hashed. Kind inference maps subsystems and claims into fault|patch|mri|trust|attestation|runtime|generic. Specialized sealers exist for CEN enforcement decisions and MRI provenance. The Key Identity Law applies verbatim to subject keys.</w:t>
      </w:r>
    </w:p>
    <w:p>
      <w:pPr>
        <w:pStyle w:val="Heading1"/>
      </w:pPr>
      <w:r>
        <w:t>Chapter 5 — Invariant Registry and IDSL-1</w:t>
      </w:r>
    </w:p>
    <w:p>
      <w:r>
        <w:rPr>
          <w:b w:val="0"/>
        </w:rPr>
        <w:t>Six canonical constitutional invariants with severity and authority-token metadata: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Floor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</w:tr>
      <w:tr>
        <w:tc>
          <w:tcPr>
            <w:tcW w:type="dxa" w:w="1728"/>
          </w:tcPr>
          <w:p>
            <w:r>
              <w:t>INV-003</w:t>
            </w:r>
          </w:p>
        </w:tc>
        <w:tc>
          <w:tcPr>
            <w:tcW w:type="dxa" w:w="1728"/>
          </w:tcPr>
          <w:p>
            <w:r>
              <w:t>Governance Drift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INV-007</w:t>
            </w:r>
          </w:p>
        </w:tc>
        <w:tc>
          <w:tcPr>
            <w:tcW w:type="dxa" w:w="1728"/>
          </w:tcPr>
          <w:p>
            <w:r>
              <w:t>Resource Floor</w:t>
            </w:r>
          </w:p>
        </w:tc>
        <w:tc>
          <w:tcPr>
            <w:tcW w:type="dxa" w:w="1728"/>
          </w:tcPr>
          <w:p>
            <w:r>
              <w:t>continuity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INV-014</w:t>
            </w:r>
          </w:p>
        </w:tc>
        <w:tc>
          <w:tcPr>
            <w:tcW w:type="dxa" w:w="1728"/>
          </w:tcPr>
          <w:p>
            <w:r>
              <w:t>Temporal Regularity</w:t>
            </w:r>
          </w:p>
        </w:tc>
        <w:tc>
          <w:tcPr>
            <w:tcW w:type="dxa" w:w="1728"/>
          </w:tcPr>
          <w:p>
            <w:r>
              <w:t>coordination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INV-021</w:t>
            </w:r>
          </w:p>
        </w:tc>
        <w:tc>
          <w:tcPr>
            <w:tcW w:type="dxa" w:w="1728"/>
          </w:tcPr>
          <w:p>
            <w:r>
              <w:t>Identity Boundary</w:t>
            </w:r>
          </w:p>
        </w:tc>
        <w:tc>
          <w:tcPr>
            <w:tcW w:type="dxa" w:w="1728"/>
          </w:tcPr>
          <w:p>
            <w:r>
              <w:t>memory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critical (VT)</w:t>
            </w:r>
          </w:p>
        </w:tc>
      </w:tr>
      <w:tr>
        <w:tc>
          <w:tcPr>
            <w:tcW w:type="dxa" w:w="1728"/>
          </w:tcPr>
          <w:p>
            <w:r>
              <w:t>INV-031</w:t>
            </w:r>
          </w:p>
        </w:tc>
        <w:tc>
          <w:tcPr>
            <w:tcW w:type="dxa" w:w="1728"/>
          </w:tcPr>
          <w:p>
            <w:r>
              <w:t>Coordination Floor</w:t>
            </w:r>
          </w:p>
        </w:tc>
        <w:tc>
          <w:tcPr>
            <w:tcW w:type="dxa" w:w="1728"/>
          </w:tcPr>
          <w:p>
            <w:r>
              <w:t>coordination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INV-041</w:t>
            </w:r>
          </w:p>
        </w:tc>
        <w:tc>
          <w:tcPr>
            <w:tcW w:type="dxa" w:w="1728"/>
          </w:tcPr>
          <w:p>
            <w:r>
              <w:t>Confidence Floor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r>
        <w:rPr>
          <w:b w:val="0"/>
        </w:rPr>
        <w:t>IDSL-1 compiles boolean invariant expressions without eval: AND/OR/NOT clauses over the five constitutional dimensions (continuity, governance, memory, coordination, confidence), plus legacy 'require &lt;dim&gt; &gt;= &lt;floor&gt;' syntax. Failure profile is deliberately two-stage: unknown dimension words fail the compile-time allowlist; unsupported operators fail when the clause evaluates. Precedence law: transition payload values override mri_snapshot values — conflicts resolve deterministically toward payload, never merged.</w:t>
      </w:r>
    </w:p>
    <w:p>
      <w:r>
        <w:br w:type="page"/>
      </w:r>
    </w:p>
    <w:p>
      <w:pPr>
        <w:pStyle w:val="Heading1"/>
      </w:pPr>
      <w:r>
        <w:t>Chapter 6 — The Constitutional Enforcement Node (EP-1)</w:t>
      </w:r>
    </w:p>
    <w:p>
      <w:r>
        <w:rPr>
          <w:b w:val="0"/>
        </w:rPr>
        <w:t>Ported from @aaes-os/constitutional-enforcement-node. The governed lifecycle: intercept -&gt; evaluate -&gt; allow/deny, with replay detection, capability gates, invariant evaluation, and hash-chained enforcement receipts.</w:t>
      </w:r>
    </w:p>
    <w:p>
      <w:pPr>
        <w:ind w:left="432"/>
      </w:pPr>
      <w:r>
        <w:rPr>
          <w:rFonts w:ascii="Consolas" w:hAnsi="Consolas"/>
          <w:sz w:val="18"/>
        </w:rPr>
        <w:t>decision = { verdict: ALLOW|DENY, action: ALLOW|DENY|FREEZE|MANDATORY_REVIEW,</w:t>
        <w:br/>
        <w:t xml:space="preserve">             reasonCode, reasonDetail }</w:t>
        <w:br/>
        <w:t>receipt  = { receiptId: "cen:&lt;hash&gt;", ..., previousReceiptHash, receiptHash }</w:t>
      </w:r>
    </w:p>
    <w:p>
      <w:r>
        <w:rPr>
          <w:b w:val="0"/>
        </w:rPr>
        <w:t>Refusal ordering inside evaluate(): malformed transition -&gt; replay detected -&gt; capability denied -&gt; authority-token validation -&gt; invariants. Every finished evaluation appends a chained receipt; verify_enforcement_receipt re-derives the hash from the receipt base. Cross-runtime goldens pin both the tokenless and tokenized receipt branches byte-for-byte against the TS algorithm.</w:t>
      </w:r>
    </w:p>
    <w:p>
      <w:r>
        <w:rPr>
          <w:b w:val="0"/>
        </w:rPr>
        <w:t>Authority tokens: domain-separated sha3-256 signatures ('AAES-CEN-AUTHORITY-TOKEN-v1'), single-use consumption, validation order: replayed -&gt; invalid signature -&gt; expired -&gt; transition mismatch -&gt; scope denied.</w:t>
      </w:r>
    </w:p>
    <w:p>
      <w:pPr>
        <w:pStyle w:val="Heading1"/>
      </w:pPr>
      <w:r>
        <w:t>Chapter 7 — INV-021 and the VT Gate for Law Mutations</w:t>
      </w:r>
    </w:p>
    <w:p>
      <w:r>
        <w:rPr>
          <w:b w:val="0"/>
        </w:rPr>
        <w:t>The Identity Boundary invariant declares that critical-severity law requires a Verified Token. Enforced rule: any law_mutation transition requires a VT-type authority token. Not a warning, not log-and-continue, not an LLM judgment — denial before commit.</w:t>
      </w:r>
    </w:p>
    <w:p>
      <w:r>
        <w:rPr>
          <w:b w:val="0"/>
        </w:rPr>
        <w:t>Token validation chain for law mutations: presence -&gt; type must be VT (checked by the bridge before node execution) -&gt; signature -&gt; expiry -&gt; transition binding -&gt; scope contains law:mutate. Refusals still traverse the node so refusal receipts enter the hash chain, carrying the precise reason detail ('law mutations require a VT authority token (INV-021)').</w:t>
      </w:r>
    </w:p>
    <w:p>
      <w:pPr>
        <w:pStyle w:val="Heading1"/>
      </w:pPr>
      <w:r>
        <w:t>Chapter 8 — The CEN Governance Bridge</w:t>
      </w:r>
    </w:p>
    <w:p>
      <w:r>
        <w:rPr>
          <w:b w:val="0"/>
        </w:rPr>
        <w:t>src/cen_governance_bridge.py is the last common admission path before state becomes authoritative. The enforced pipeline:</w:t>
      </w:r>
    </w:p>
    <w:p>
      <w:pPr>
        <w:ind w:left="432"/>
      </w:pPr>
      <w:r>
        <w:rPr>
          <w:rFonts w:ascii="Consolas" w:hAnsi="Consolas"/>
          <w:sz w:val="18"/>
        </w:rPr>
        <w:t>proposed mutation -&gt; classify -&gt; CEN.execute() -&gt; INV-021 -&gt; VT verification</w:t>
        <w:br/>
        <w:t xml:space="preserve">  -&gt; enforcement receipt + evidence receipt -&gt; frozen approval -&gt; commit OR deny</w:t>
      </w:r>
    </w:p>
    <w:p>
      <w:r>
        <w:rPr>
          <w:b w:val="0"/>
        </w:rPr>
        <w:t>Classification precedence: explicit transition_type argument, then bundle declaration (constitutional_class), else runtime_action. Any exception inside enforcement fails closed — denial with reason cen_failed_closed, commit function never invoked. There is no environment switch that turns the gate off.</w:t>
      </w:r>
    </w:p>
    <w:p>
      <w:r>
        <w:br w:type="page"/>
      </w:r>
    </w:p>
    <w:p>
      <w:pPr>
        <w:pStyle w:val="Heading1"/>
      </w:pPr>
      <w:r>
        <w:t>Chapter 9 — Law-State Sink Dominance</w:t>
      </w:r>
    </w:p>
    <w:p>
      <w:r>
        <w:rPr>
          <w:b w:val="0"/>
        </w:rPr>
        <w:t>The real invariant is not "the runtime consults CEN" — it is that ALL authoritative law-mutation write paths are dominated by CEN. Dominance lives at the sink: every one of the 14 law registries refuses any save lacking a valid CEN approval envelope bound to the exact record digest.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Sink</w:t>
            </w:r>
          </w:p>
        </w:tc>
        <w:tc>
          <w:tcPr>
            <w:tcW w:type="dxa" w:w="4320"/>
          </w:tcPr>
          <w:p>
            <w:r>
              <w:t>Record</w:t>
            </w:r>
          </w:p>
        </w:tc>
      </w:tr>
      <w:tr>
        <w:tc>
          <w:tcPr>
            <w:tcW w:type="dxa" w:w="4320"/>
          </w:tcPr>
          <w:p>
            <w:r>
              <w:t>operator_membrane_policy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autobiographical_episode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social_bond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constitutional_ecosystem_charter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constitutional_evolution_amendment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culture_habit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culture_of_beings_norm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federated_epoch_charter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governed_civilization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identity_self_model_claim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diplomatic_accord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multi_being_pact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narrative_beat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  <w:tr>
        <w:tc>
          <w:tcPr>
            <w:tcW w:type="dxa" w:w="4320"/>
          </w:tcPr>
          <w:p>
            <w:r>
              <w:t>norm_federation_treaty</w:t>
            </w:r>
          </w:p>
        </w:tc>
        <w:tc>
          <w:tcPr>
            <w:tcW w:type="dxa" w:w="4320"/>
          </w:tcPr>
          <w:p>
            <w:r>
              <w:t>cen_approval required</w:t>
            </w:r>
          </w:p>
        </w:tc>
      </w:tr>
    </w:tbl>
    <w:p>
      <w:r>
        <w:rPr>
          <w:b w:val="0"/>
        </w:rPr>
        <w:t>Consequence: maintenance scripts, recovery routines, direct state setters, migration jobs, and debug endpoints calling a registry directly hit PermissionError at the sink itself. Even test fixtures route through cen_approved() — fixtures obey the same law as production writers.</w:t>
      </w:r>
    </w:p>
    <w:p>
      <w:r>
        <w:rPr>
          <w:b w:val="0"/>
        </w:rPr>
        <w:t>Binding refinement: randomly-assigned record ids (pact_id, charter_id, ...) are bookkeeping, not law content — reduction strips each sink's primary id field so challenge-response token minting binds deterministically across attempts. Operational fields policy_id and jarvis_receipt_id are excluded identically.</w:t>
      </w:r>
    </w:p>
    <w:p>
      <w:pPr>
        <w:pStyle w:val="Heading1"/>
      </w:pPr>
      <w:r>
        <w:t>Chapter 10 — TOCTOU-Safe Frozen Approvals</w:t>
      </w:r>
    </w:p>
    <w:p>
      <w:r>
        <w:rPr>
          <w:b w:val="0"/>
        </w:rPr>
        <w:t>Approval binds content, not references. gate_commit deep-copies the payload into a frozen approval stamped with its hash; commit_approved re-verifies the hash immediately before executing the commit function. Mutating the caller's object after approval cannot change what gets committed — verified by tests where post-approval mutation leaves the committed value untouched, and swapped approvals are refused with toctou_hash_mismatch.</w:t>
      </w:r>
    </w:p>
    <w:p>
      <w:r>
        <w:rPr>
          <w:b w:val="0"/>
        </w:rPr>
        <w:t>WorkflowChainExecutor integration: every non-dry commit passes the gate first; plugs receive the approved frozen args, not caller-held dictionaries. Dry runs never make state authoritative and stay ungated. Denials return blocked runs carrying the CEN decision and receipt ids.</w:t>
      </w:r>
    </w:p>
    <w:p>
      <w:r>
        <w:br w:type="page"/>
      </w:r>
    </w:p>
    <w:p>
      <w:pPr>
        <w:pStyle w:val="Heading1"/>
      </w:pPr>
      <w:r>
        <w:t>Chapter 11 — Mandala Link IMXP Adapter</w:t>
      </w:r>
    </w:p>
    <w:p>
      <w:r>
        <w:rPr>
          <w:b w:val="0"/>
        </w:rPr>
        <w:t>src/imxp_mandala_adapter.py wraps mandala-link/1 packets into governance membrane events: MGM-0 drift observation, MGM-1 grant-to-policy candidates, and MGM-3 admission-only packet consult. Accepts both wire-spec snake_case and TS-reference camelCase envelopes; canonical hashing matches organism_receipt so receipts stay compatible.</w:t>
      </w:r>
    </w:p>
    <w:p>
      <w:r>
        <w:rPr>
          <w:b w:val="0"/>
        </w:rPr>
        <w:t>Packet types map onto permeability channels (mesh media to mesh_handoff, text/command/response/control to exchange_envelope, sensor telemetry to memory_cues); channels map onto operator_membrane_policy kinds. Capability grants convert into policy candidates through the dual-gate adoption flow — operator promotion plus Jarvis authorization — which now additionally requires a CEN VT approval at the sink.</w:t>
      </w:r>
    </w:p>
    <w:p>
      <w:pPr>
        <w:pStyle w:val="Heading1"/>
      </w:pPr>
      <w:r>
        <w:t>Chapter 12 — Trust Root</w:t>
      </w:r>
    </w:p>
    <w:p>
      <w:r>
        <w:rPr>
          <w:b w:val="0"/>
        </w:rPr>
        <w:t>src/trust_root.py ports @aaes-os/trust-root: canonical 'sha3-256:' measurement strings validated by strict pattern, and a deterministic hTrustRoot computed domain-separated ('AAES-TRUST-ROOT-v1') over raw measurement bytes in fixed order: kernel image, law spine, corridors, boot manifest.</w:t>
      </w:r>
    </w:p>
    <w:p>
      <w:pPr>
        <w:ind w:left="432"/>
      </w:pPr>
      <w:r>
        <w:rPr>
          <w:rFonts w:ascii="Consolas" w:hAnsi="Consolas"/>
          <w:sz w:val="18"/>
        </w:rPr>
        <w:t>hTrustRoot = sha3_256( DOMAIN || raw(hKernelImage) || raw(hLawSpine) || raw(hCorridors) || raw(hBootManifest) )</w:t>
      </w:r>
    </w:p>
    <w:p>
      <w:r>
        <w:rPr>
          <w:b w:val="0"/>
        </w:rPr>
        <w:t>One-shot sealing: the root seals exactly once per process lifetime; re-sealing raises. run_early_boot composes build-and-seal and returns OK. A UCR context projects the law-spine, corridors, and trust-root measurements for downstream attestation.</w:t>
      </w:r>
    </w:p>
    <w:p>
      <w:pPr>
        <w:pStyle w:val="Heading1"/>
      </w:pPr>
      <w:r>
        <w:t>Chapter 13 — UCR Attestation</w:t>
      </w:r>
    </w:p>
    <w:p>
      <w:r>
        <w:rPr>
          <w:b w:val="0"/>
        </w:rPr>
        <w:t>src/ucr_attestation.py ports @aaes-os/ucr-attestation: tokens bind a UCR instance and build fingerprint to the sealed trust root, corridors hash, and law-spine hash, signed with domain 'AAES-UCR-ATTEST-v1'. Signature bytes reproduce the TS Buffer join exactly (domain NUL followed by pipe-separated fields).</w:t>
      </w:r>
    </w:p>
    <w:p>
      <w:r>
        <w:rPr>
          <w:b w:val="0"/>
        </w:rPr>
        <w:t>Registration refusal ordering is deterministic: unsealed boot -&gt; expired token -&gt; invalid law key (32 hex chars, not all-zero) -&gt; invalid signature -&gt; trust-root mismatch -&gt; corridors mismatch -&gt; law-spine mismatch. Success registers a UCR handle — the identity downstream consumers check.</w:t>
      </w:r>
    </w:p>
    <w:p>
      <w:r>
        <w:rPr>
          <w:b w:val="0"/>
        </w:rPr>
        <w:t>Pairing into the boundary: gate_commit(require_ucr_attested=True) refuses until the organism has sealed its root and registered an attested instance; refusals chain enforcement and evidence receipts like every other denial. Unsealed -&gt; refused; sealed-but-unregistered -&gt; refused; attested -&gt; commits with frozen-object binding.</w:t>
      </w:r>
    </w:p>
    <w:p>
      <w:r>
        <w:br w:type="page"/>
      </w:r>
    </w:p>
    <w:p>
      <w:pPr>
        <w:pStyle w:val="Heading1"/>
      </w:pPr>
      <w:r>
        <w:t>Chapter 14 — Adversarial Conformance Testing</w:t>
      </w:r>
    </w:p>
    <w:p>
      <w:r>
        <w:rPr>
          <w:b w:val="0"/>
        </w:rPr>
        <w:t>Cross-runtime goldens are the backbone: receipt ids, trust roots, and attestation signatures generated from the exact TS algorithms via Node and asserted in Python without requiring Node at runtime; live cross-checks run when the Sovereign-X clone is mounted.</w:t>
      </w:r>
    </w:p>
    <w:p>
      <w:r>
        <w:rPr>
          <w:b w:val="0"/>
        </w:rPr>
        <w:t>The adversarial suites attack the ugly cases:</w:t>
      </w:r>
    </w:p>
    <w:p>
      <w:pPr>
        <w:pStyle w:val="ListBullet"/>
      </w:pPr>
      <w:r>
        <w:t>Malformed receipts: every missing section, wrong types, non-object input.</w:t>
      </w:r>
    </w:p>
    <w:p>
      <w:pPr>
        <w:pStyle w:val="ListBullet"/>
      </w:pPr>
      <w:r>
        <w:t>Single-byte mutation detection across all seven receipt sections plus booleans and unicode.</w:t>
      </w:r>
    </w:p>
    <w:p>
      <w:pPr>
        <w:pStyle w:val="ListBullet"/>
      </w:pPr>
      <w:r>
        <w:t>Key reordering produces identical ids; key casing deliberately does not.</w:t>
      </w:r>
    </w:p>
    <w:p>
      <w:pPr>
        <w:pStyle w:val="ListBullet"/>
      </w:pPr>
      <w:r>
        <w:t>Unknown invariants, unknown clauses, eval injection rejected.</w:t>
      </w:r>
    </w:p>
    <w:p>
      <w:pPr>
        <w:pStyle w:val="ListBullet"/>
      </w:pPr>
      <w:r>
        <w:t>Absent / invalid / expired / wrong-scope / wrong-record VT denials for law mutations.</w:t>
      </w:r>
    </w:p>
    <w:p>
      <w:pPr>
        <w:pStyle w:val="ListBullet"/>
      </w:pPr>
      <w:r>
        <w:t>Forged approvals and approvals transplanted to tampered records refused at sinks.</w:t>
      </w:r>
    </w:p>
    <w:p>
      <w:pPr>
        <w:pStyle w:val="ListBullet"/>
      </w:pPr>
      <w:r>
        <w:t>CEN failure fails closed; post-approval mutation refused; exact frozen object committed.</w:t>
      </w:r>
    </w:p>
    <w:p>
      <w:pPr>
        <w:pStyle w:val="ListBullet"/>
      </w:pPr>
      <w:r>
        <w:t>Alternate-path dominance: direct registry writes, forged envelopes, and seed fixtures all dominated.</w:t>
      </w:r>
    </w:p>
    <w:p>
      <w:pPr>
        <w:pStyle w:val="Heading1"/>
      </w:pPr>
      <w:r>
        <w:t>Chapter 15 — Deployment State, Checkpoints, and Next Steps</w:t>
      </w:r>
    </w:p>
    <w:p>
      <w:r>
        <w:rPr>
          <w:b w:val="0"/>
        </w:rPr>
        <w:t>Primary working tree (New Volume): f69f79e -&gt; caab105 (enforcement stack + contract laws) -&gt; 79bdbb6 (membrane dominance) -&gt; e06c823 (all 14 sinks) -&gt; bebdf1c (trust-root + attestation). Secondary checkpoint lineage on the DEEA drive carries the synced stack (b9852d7 -&gt; 84bf1f2 -&gt; 6df993a). Upstream GitHub was searched bloblessly: ORGANISM_RECEIPT_CONTRACT.md never existed remotely — the rebuilt contract is canonical.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b9852d7</w:t>
            </w:r>
          </w:p>
        </w:tc>
        <w:tc>
          <w:tcPr>
            <w:tcW w:type="dxa" w:w="2880"/>
          </w:tcPr>
          <w:p>
            <w:r>
              <w:t>AAES port with Node-matched goldens</w:t>
            </w:r>
          </w:p>
        </w:tc>
        <w:tc>
          <w:tcPr>
            <w:tcW w:type="dxa" w:w="2880"/>
          </w:tcPr>
          <w:p>
            <w:r>
              <w:t>DEEA clone</w:t>
            </w:r>
          </w:p>
        </w:tc>
      </w:tr>
      <w:tr>
        <w:tc>
          <w:tcPr>
            <w:tcW w:type="dxa" w:w="2880"/>
          </w:tcPr>
          <w:p>
            <w:r>
              <w:t>caab105</w:t>
            </w:r>
          </w:p>
        </w:tc>
        <w:tc>
          <w:tcPr>
            <w:tcW w:type="dxa" w:w="2880"/>
          </w:tcPr>
          <w:p>
            <w:r>
              <w:t>Full stack + ORGANISM_RECEIPT_CONTRACT.md (Key Identity + Value State Laws)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79bdbb6</w:t>
            </w:r>
          </w:p>
        </w:tc>
        <w:tc>
          <w:tcPr>
            <w:tcW w:type="dxa" w:w="2880"/>
          </w:tcPr>
          <w:p>
            <w:r>
              <w:t>Membrane sink dominance + TOCTOU-safe executor wiring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e06c823</w:t>
            </w:r>
          </w:p>
        </w:tc>
        <w:tc>
          <w:tcPr>
            <w:tcW w:type="dxa" w:w="2880"/>
          </w:tcPr>
          <w:p>
            <w:r>
              <w:t>Dominance rolled to all 14 law-state sinks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bebdf1c</w:t>
            </w:r>
          </w:p>
        </w:tc>
        <w:tc>
          <w:tcPr>
            <w:tcW w:type="dxa" w:w="2880"/>
          </w:tcPr>
          <w:p>
            <w:r>
              <w:t>Trust root + UCR attestation feeding CEN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</w:tbl>
    <w:p>
      <w:r>
        <w:rPr>
          <w:b w:val="0"/>
        </w:rPr>
        <w:t>Open threads: push primary to origin (ahead by five commits); sync bebdf1c to the DEEA checkpoint; the Tri-Strata memory spine (runledger, governed-memory) as the next package pair; and the pre-existing test_constitutional_evolution_adopt fixture failure (missing federated epoch registry file) documented in e06c823.</w:t>
      </w:r>
    </w:p>
    <w:p>
      <w:r>
        <w:rPr>
          <w:b/>
        </w:rPr>
        <w:t>Closing note: constitutional enforcement is now part of the organism's causal execution path rather than something that can merely describe whether an action was constitutional afterward.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