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88" w:lineRule="auto"/>
      </w:pPr>
      <w:r>
        <w:rPr>
          <w:rFonts w:ascii="Calibri" w:cs="Calibri" w:eastAsia="Calibri" w:hAnsi="Calibri"/>
          <w:b/>
          <w:bCs/>
          <w:i w:val="false"/>
          <w:iCs w:val="false"/>
          <w:strike w:val="false"/>
          <w:color w:val="1A1A1A"/>
          <w:sz w:val="44"/>
          <w:szCs w:val="44"/>
        </w:rPr>
        <w:t xml:space="preserve">Project Infinity — Governance Resolution Document</w:t>
      </w:r>
    </w:p>
    <w:p>
      <w:pPr>
        <w:spacing w:after="240" w:line="360" w:lineRule="auto"/>
      </w:pPr>
      <w:r>
        <w:rPr>
          <w:rFonts w:ascii="Calibri" w:cs="Calibri" w:eastAsia="Calibri" w:hAnsi="Calibri"/>
          <w:b w:val="false"/>
          <w:bCs w:val="false"/>
          <w:i w:val="false"/>
          <w:iCs w:val="false"/>
          <w:strike w:val="false"/>
          <w:color w:val="444444"/>
          <w:sz w:val="22"/>
          <w:szCs w:val="22"/>
        </w:rPr>
        <w:t xml:space="preserve">Structured Action Plan — Cross-Reference Findings v1.0  |  June 12, 2026</w:t>
      </w:r>
    </w:p>
    <w:p>
      <w:pPr>
        <w:spacing w:after="60" w:line="360" w:lineRule="auto"/>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000000"/>
          <w:sz w:val="22"/>
          <w:szCs w:val="22"/>
        </w:rPr>
        <w:t xml:space="preserve"> Jon Halstead</w:t>
      </w:r>
    </w:p>
    <w:p>
      <w:pPr>
        <w:spacing w:after="60" w:line="360" w:lineRule="auto"/>
      </w:pP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000000"/>
          <w:sz w:val="22"/>
          <w:szCs w:val="22"/>
        </w:rPr>
        <w:t xml:space="preserve"> Internal Working Document — Not for External Distribution</w:t>
      </w:r>
    </w:p>
    <w:p>
      <w:pPr>
        <w:spacing w:after="6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Turn cross-reference findings into executable, owned, time-bound actions</w:t>
      </w:r>
    </w:p>
    <w:p>
      <w:pPr>
        <w:spacing w:after="60" w:line="360" w:lineRule="auto"/>
      </w:pPr>
      <w:r>
        <w:rPr>
          <w:rFonts w:ascii="Calibri" w:cs="Calibri" w:eastAsia="Calibri" w:hAnsi="Calibri"/>
          <w:b/>
          <w:bCs/>
          <w:i w:val="false"/>
          <w:iCs w:val="false"/>
          <w:strike w:val="false"/>
          <w:color w:val="000000"/>
          <w:sz w:val="22"/>
          <w:szCs w:val="22"/>
        </w:rPr>
        <w:t xml:space="preserve">Audience:</w:t>
      </w:r>
      <w:r>
        <w:rPr>
          <w:rFonts w:ascii="Calibri" w:cs="Calibri" w:eastAsia="Calibri" w:hAnsi="Calibri"/>
          <w:b w:val="false"/>
          <w:bCs w:val="false"/>
          <w:i w:val="false"/>
          <w:iCs w:val="false"/>
          <w:strike w:val="false"/>
          <w:color w:val="000000"/>
          <w:sz w:val="22"/>
          <w:szCs w:val="22"/>
        </w:rPr>
        <w:t xml:space="preserve"> Technical Founder, IP Counsel, Architecture Lead</w:t>
      </w:r>
    </w:p>
    <w:p>
      <w:pPr>
        <w:spacing w:after="60" w:line="360" w:lineRule="auto"/>
      </w:pPr>
      <w:r>
        <w:rPr>
          <w:rFonts w:ascii="Calibri" w:cs="Calibri" w:eastAsia="Calibri" w:hAnsi="Calibri"/>
          <w:b/>
          <w:bCs/>
          <w:i w:val="false"/>
          <w:iCs w:val="false"/>
          <w:strike w:val="false"/>
          <w:color w:val="000000"/>
          <w:sz w:val="22"/>
          <w:szCs w:val="22"/>
        </w:rPr>
        <w:t xml:space="preserve">Status:</w:t>
      </w:r>
      <w:r>
        <w:rPr>
          <w:rFonts w:ascii="Calibri" w:cs="Calibri" w:eastAsia="Calibri" w:hAnsi="Calibri"/>
          <w:b w:val="false"/>
          <w:bCs w:val="false"/>
          <w:i w:val="false"/>
          <w:iCs w:val="false"/>
          <w:strike w:val="false"/>
          <w:color w:val="000000"/>
          <w:sz w:val="22"/>
          <w:szCs w:val="22"/>
        </w:rPr>
        <w:t xml:space="preserve"> Active — Actions Pending</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A" w:color="auto" w:val="clear"/>
            <w:tcMar>
              <w:top w:type="dxa" w:w="210"/>
              <w:left w:type="dxa" w:w="240"/>
              <w:bottom w:type="dxa" w:w="210"/>
              <w:right w:type="dxa" w:w="240"/>
            </w:tcMar>
          </w:tcPr>
          <w:p>
            <w:pPr>
              <w:spacing w:after="120" w:line="408" w:lineRule="auto"/>
            </w:pPr>
            <w:r>
              <w:rPr>
                <w:b/>
                <w:bCs/>
                <w:i w:val="false"/>
                <w:iCs w:val="false"/>
                <w:color w:val="2B5797"/>
              </w:rPr>
              <w:t xml:space="preserve">■  Resolution Note</w:t>
            </w:r>
          </w:p>
          <w:p>
            <w:pPr>
              <w:spacing w:after="0" w:line="360" w:lineRule="auto"/>
            </w:pPr>
            <w:r>
              <w:rPr>
                <w:rFonts w:ascii="Calibri" w:cs="Calibri" w:eastAsia="Calibri" w:hAnsi="Calibri"/>
                <w:b w:val="false"/>
                <w:bCs w:val="false"/>
                <w:i w:val="false"/>
                <w:iCs w:val="false"/>
                <w:strike w:val="false"/>
                <w:color w:val="1A1A1A"/>
                <w:sz w:val="21"/>
                <w:szCs w:val="21"/>
              </w:rPr>
              <w:t xml:space="preserve">A Resolution Document is actionable. It turns findings into work. Dumping raw analysis into the corpus makes it look like cataloguing problems without a plan. Once resolutions are decided — owners, next steps, target dates — a cleaner "Known Issues &amp; Resolutions" appendix can be added to the Governance Corpus.</w:t>
            </w:r>
          </w:p>
        </w:tc>
      </w:tr>
    </w:tbl>
    <w:p>
      <w:pPr>
        <w:spacing w:after="240" w:before="0"/>
      </w:pPr>
    </w:p>
    <w:p>
      <w:pPr>
        <w:pBdr>
          <w:bottom w:val="single" w:color="000000" w:sz="6"/>
        </w:pBdr>
        <w:spacing w:after="240" w:before="240"/>
      </w:pPr>
    </w:p>
    <w:p>
      <w:pPr>
        <w:pStyle w:val="Heading1"/>
        <w:spacing w:after="100" w:before="480" w:line="312" w:lineRule="auto"/>
      </w:pPr>
      <w:r>
        <w:rPr>
          <w:rFonts w:ascii="Calibri" w:cs="Calibri" w:eastAsia="Calibri" w:hAnsi="Calibri"/>
          <w:color w:val="1A1A1A"/>
          <w:sz w:val="44"/>
          <w:szCs w:val="44"/>
        </w:rPr>
        <w:t xml:space="preserve">Section 1 — Executive Summary</w:t>
      </w:r>
    </w:p>
    <w:p>
      <w:pPr>
        <w:pBdr>
          <w:top w:val="single" w:color="2B5797" w:sz="6"/>
        </w:pBdr>
        <w:spacing w:after="200" w:before="0"/>
      </w:pPr>
    </w:p>
    <w:p>
      <w:pPr>
        <w:pStyle w:val="Heading2"/>
        <w:spacing w:after="100" w:before="320" w:line="312" w:lineRule="auto"/>
      </w:pPr>
      <w:r>
        <w:rPr>
          <w:rFonts w:ascii="Calibri" w:cs="Calibri" w:eastAsia="Calibri" w:hAnsi="Calibri"/>
          <w:color w:val="1A1A1A"/>
          <w:sz w:val="26"/>
          <w:szCs w:val="26"/>
        </w:rPr>
        <w:t xml:space="preserve">1.1  Overall Status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governance cross-reference analysis identified </w:t>
      </w:r>
      <w:r>
        <w:rPr>
          <w:rFonts w:ascii="Calibri" w:cs="Calibri" w:eastAsia="Calibri" w:hAnsi="Calibri"/>
          <w:b/>
          <w:bCs/>
          <w:i w:val="false"/>
          <w:iCs w:val="false"/>
          <w:strike w:val="false"/>
          <w:color w:val="000000"/>
          <w:sz w:val="22"/>
          <w:szCs w:val="22"/>
        </w:rPr>
        <w:t xml:space="preserve">7 contradictions</w:t>
      </w:r>
      <w:r>
        <w:rPr>
          <w:rFonts w:ascii="Calibri" w:cs="Calibri" w:eastAsia="Calibri" w:hAnsi="Calibri"/>
          <w:b w:val="false"/>
          <w:bCs w:val="false"/>
          <w:i w:val="false"/>
          <w:iCs w:val="false"/>
          <w:strike w:val="false"/>
          <w:color w:val="000000"/>
          <w:sz w:val="22"/>
          <w:szCs w:val="22"/>
        </w:rPr>
        <w:t xml:space="preserve"> and </w:t>
      </w:r>
      <w:r>
        <w:rPr>
          <w:rFonts w:ascii="Calibri" w:cs="Calibri" w:eastAsia="Calibri" w:hAnsi="Calibri"/>
          <w:b/>
          <w:bCs/>
          <w:i w:val="false"/>
          <w:iCs w:val="false"/>
          <w:strike w:val="false"/>
          <w:color w:val="000000"/>
          <w:sz w:val="22"/>
          <w:szCs w:val="22"/>
        </w:rPr>
        <w:t xml:space="preserve">9 gaps</w:t>
      </w:r>
      <w:r>
        <w:rPr>
          <w:rFonts w:ascii="Calibri" w:cs="Calibri" w:eastAsia="Calibri" w:hAnsi="Calibri"/>
          <w:b w:val="false"/>
          <w:bCs w:val="false"/>
          <w:i w:val="false"/>
          <w:iCs w:val="false"/>
          <w:strike w:val="false"/>
          <w:color w:val="000000"/>
          <w:sz w:val="22"/>
          <w:szCs w:val="22"/>
        </w:rPr>
        <w:t xml:space="preserve"> across five source documents and the Governance Corpus. None of the findings invalidate the architecture. All are resolvable. </w:t>
      </w:r>
      <w:r>
        <w:rPr>
          <w:rFonts w:ascii="Calibri" w:cs="Calibri" w:eastAsia="Calibri" w:hAnsi="Calibri"/>
          <w:b/>
          <w:bCs/>
          <w:i w:val="false"/>
          <w:iCs w:val="false"/>
          <w:strike w:val="false"/>
          <w:color w:val="000000"/>
          <w:sz w:val="22"/>
          <w:szCs w:val="22"/>
        </w:rPr>
        <w:t xml:space="preserve">Three require immediate action</w:t>
      </w:r>
      <w:r>
        <w:rPr>
          <w:rFonts w:ascii="Calibri" w:cs="Calibri" w:eastAsia="Calibri" w:hAnsi="Calibri"/>
          <w:b w:val="false"/>
          <w:bCs w:val="false"/>
          <w:i w:val="false"/>
          <w:iCs w:val="false"/>
          <w:strike w:val="false"/>
          <w:color w:val="000000"/>
          <w:sz w:val="22"/>
          <w:szCs w:val="22"/>
        </w:rPr>
        <w:t xml:space="preserve"> before any external document, investor communication, or licensing discussion proceeds.</w:t>
      </w:r>
    </w:p>
    <w:p>
      <w:pPr>
        <w:pStyle w:val="Heading2"/>
        <w:spacing w:after="100" w:before="320" w:line="312" w:lineRule="auto"/>
      </w:pPr>
      <w:r>
        <w:rPr>
          <w:rFonts w:ascii="Calibri" w:cs="Calibri" w:eastAsia="Calibri" w:hAnsi="Calibri"/>
          <w:color w:val="1A1A1A"/>
          <w:sz w:val="26"/>
          <w:szCs w:val="26"/>
        </w:rPr>
        <w:t xml:space="preserve">1.2  Top Three Priorities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PRIORITY 1 — C1: Architectural Claim vs. Operational Status</w:t>
            </w:r>
          </w:p>
          <w:p>
            <w:pPr>
              <w:spacing w:after="0" w:line="360" w:lineRule="auto"/>
            </w:pPr>
            <w:r>
              <w:rPr>
                <w:rFonts w:ascii="Calibri" w:cs="Calibri" w:eastAsia="Calibri" w:hAnsi="Calibri"/>
                <w:b w:val="false"/>
                <w:bCs w:val="false"/>
                <w:i w:val="false"/>
                <w:iCs w:val="false"/>
                <w:strike w:val="false"/>
                <w:color w:val="000000"/>
                <w:sz w:val="22"/>
                <w:szCs w:val="22"/>
              </w:rPr>
              <w:t xml:space="preserve">The claim "governance is structurally encoded at the binary level" is architecturally true and must not be retracted. The fix is a single sentence distinguishing architectural encoding from current operational status. High visibility risk — this claim appears in investor-facing documents. </w:t>
            </w:r>
            <w:r>
              <w:rPr>
                <w:rFonts w:ascii="Calibri" w:cs="Calibri" w:eastAsia="Calibri" w:hAnsi="Calibri"/>
                <w:b/>
                <w:bCs/>
                <w:i w:val="false"/>
                <w:iCs w:val="false"/>
                <w:strike w:val="false"/>
                <w:color w:val="000000"/>
                <w:sz w:val="22"/>
                <w:szCs w:val="22"/>
              </w:rPr>
              <w:t xml:space="preserve">One-day fix.</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PRIORITY 2 — C3: Law of Duality Epistemic Markers</w:t>
            </w:r>
          </w:p>
          <w:p>
            <w:pPr>
              <w:spacing w:after="0" w:line="360" w:lineRule="auto"/>
            </w:pPr>
            <w:r>
              <w:rPr>
                <w:rFonts w:ascii="Calibri" w:cs="Calibri" w:eastAsia="Calibri" w:hAnsi="Calibri"/>
                <w:b w:val="false"/>
                <w:bCs w:val="false"/>
                <w:i w:val="false"/>
                <w:iCs w:val="false"/>
                <w:strike w:val="false"/>
                <w:color w:val="000000"/>
                <w:sz w:val="22"/>
                <w:szCs w:val="22"/>
              </w:rPr>
              <w:t xml:space="preserve">The Research Corpus correctly hedges the Law of Duality: one rigorously derived anchor (waveguide), other domains as open hypotheses. Every downstream document dropped the hedge. This is an integrity issue, not a weakness — the epistemic precision is part of the credibility of the architecture. </w:t>
            </w:r>
            <w:r>
              <w:rPr>
                <w:rFonts w:ascii="Calibri" w:cs="Calibri" w:eastAsia="Calibri" w:hAnsi="Calibri"/>
                <w:b/>
                <w:bCs/>
                <w:i w:val="false"/>
                <w:iCs w:val="false"/>
                <w:strike w:val="false"/>
                <w:color w:val="000000"/>
                <w:sz w:val="22"/>
                <w:szCs w:val="22"/>
              </w:rPr>
              <w:t xml:space="preserve">Restore the hedge consistently across all documents.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PRIORITY 3 — C4: HYBRID Authorship and IP Provenance</w:t>
            </w:r>
          </w:p>
          <w:p>
            <w:pPr>
              <w:spacing w:after="0" w:line="360" w:lineRule="auto"/>
            </w:pPr>
            <w:r>
              <w:rPr>
                <w:rFonts w:ascii="Calibri" w:cs="Calibri" w:eastAsia="Calibri" w:hAnsi="Calibri"/>
                <w:b w:val="false"/>
                <w:bCs w:val="false"/>
                <w:i w:val="false"/>
                <w:iCs w:val="false"/>
                <w:strike w:val="false"/>
                <w:color w:val="000000"/>
                <w:sz w:val="22"/>
                <w:szCs w:val="22"/>
              </w:rPr>
              <w:t xml:space="preserve">Three of the four core governance primitives are labeled [HYBRID] in the Research Corpus — Jon's architecture, AI-elaborated. The IP Catalog asserts sole authorship throughout with no HYBRID distinction. This needs IP counsel before any licensing, fundraising, or publishing decision. The answer is not obvious; the stakes are high. </w:t>
            </w:r>
            <w:r>
              <w:rPr>
                <w:rFonts w:ascii="Calibri" w:cs="Calibri" w:eastAsia="Calibri" w:hAnsi="Calibri"/>
                <w:b/>
                <w:bCs/>
                <w:i w:val="false"/>
                <w:iCs w:val="false"/>
                <w:strike w:val="false"/>
                <w:color w:val="000000"/>
                <w:sz w:val="22"/>
                <w:szCs w:val="22"/>
              </w:rPr>
              <w:t xml:space="preserve">Not a one-day fix — but the decision to engage counsel is.</w:t>
            </w:r>
          </w:p>
        </w:tc>
      </w:tr>
    </w:tbl>
    <w:p>
      <w:pPr>
        <w:spacing w:after="240" w:before="0"/>
      </w:pPr>
    </w:p>
    <w:p>
      <w:pPr>
        <w:pStyle w:val="Heading2"/>
        <w:spacing w:after="100" w:before="320" w:line="312" w:lineRule="auto"/>
      </w:pPr>
      <w:r>
        <w:rPr>
          <w:rFonts w:ascii="Calibri" w:cs="Calibri" w:eastAsia="Calibri" w:hAnsi="Calibri"/>
          <w:color w:val="1A1A1A"/>
          <w:sz w:val="26"/>
          <w:szCs w:val="26"/>
        </w:rPr>
        <w:t xml:space="preserve">1.3  Summary Counts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Category</w:t>
            </w:r>
          </w:p>
        </w:tc>
        <w:tc>
          <w:tcPr>
            <w:tcW w:type="pct" w:w="4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Count / Detail</w:t>
            </w:r>
          </w:p>
        </w:tc>
      </w:tr>
      <w:tr>
        <w:trPr>
          <w:tblHeader w:val="false"/>
        </w:trPr>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Contradictions identified</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  (2 Critical, 2 High, 3 Medium)</w:t>
            </w:r>
          </w:p>
        </w:tc>
      </w:tr>
      <w:tr>
        <w:trPr>
          <w:tblHeader w:val="false"/>
        </w:trPr>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Gaps identified</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  (1 Critical, 4 High, 4 Medium)</w:t>
            </w:r>
          </w:p>
        </w:tc>
      </w:tr>
      <w:tr>
        <w:trPr>
          <w:tblHeader w:val="false"/>
        </w:trPr>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Require immediate action (next 7 days)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 items — C1, C3, C4, G1</w:t>
            </w:r>
          </w:p>
        </w:tc>
      </w:tr>
      <w:tr>
        <w:trPr>
          <w:tblHeader w:val="false"/>
        </w:trPr>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Require IP / legal review</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 item — C4</w:t>
            </w:r>
          </w:p>
        </w:tc>
      </w:tr>
      <w:tr>
        <w:trPr>
          <w:tblHeader w:val="false"/>
        </w:trPr>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Require architectural specification work</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 items — G2, G3, G4, G5, G9</w:t>
            </w:r>
          </w:p>
        </w:tc>
      </w:tr>
      <w:tr>
        <w:trPr>
          <w:tblHeader w:val="false"/>
        </w:trPr>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Require process / governance policy work</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 items — G6, G7, G8</w:t>
            </w:r>
          </w:p>
        </w:tc>
      </w:tr>
    </w:tbl>
    <w:p>
      <w:pPr>
        <w:spacing w:after="200" w:before="0"/>
      </w:pPr>
    </w:p>
    <w:p>
      <w:pPr>
        <w:pBdr>
          <w:bottom w:val="single" w:color="000000" w:sz="6"/>
        </w:pBdr>
        <w:spacing w:after="240" w:before="240"/>
      </w:pPr>
    </w:p>
    <w:p>
      <w:pPr>
        <w:pStyle w:val="Heading1"/>
        <w:spacing w:after="100" w:before="480" w:line="312" w:lineRule="auto"/>
      </w:pPr>
      <w:r>
        <w:rPr>
          <w:rFonts w:ascii="Calibri" w:cs="Calibri" w:eastAsia="Calibri" w:hAnsi="Calibri"/>
          <w:color w:val="1A1A1A"/>
          <w:sz w:val="44"/>
          <w:szCs w:val="44"/>
        </w:rPr>
        <w:t xml:space="preserve">Section 2 — Contradiction Resolution Tracker</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table below provides a structured summary of all seven contradictions. Full resolution notes follow the table, one per item.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ID</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Severity</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Short Description</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Documents Affected</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Proposed Resolution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Owner</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Target Date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Status</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C1</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CRITICAL</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Architectural claim vs. operational status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MasterBlueprint §6; GlobalPricing §1; Governance Corpus §3</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Add one sentence in all three documents distinguishing architectural design encoding from current operational status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June 19,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C2</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CRITICAL</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OTEM v6 timeline vs. UL completion dependency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MasterBlueprint §2.2; GlobalPricing §5.1</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Produce UL completion roadmap (lane-by-lane or milestone-based); add dependency note to GlobalPricing Phase 1</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July 3,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C3</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7A4000"/>
                <w:sz w:val="22"/>
                <w:szCs w:val="22"/>
              </w:rPr>
              <w:t xml:space="preserve">HIGH</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Law of Duality epistemic status dropped downstream</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Research Corpus §2.1; MasterBlueprint §6; GlobalPricing; Governance Corpus §3.3</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Restore hedge language ("conditionally stable design principle; waveguide rigorously derived; other domains open hypotheses") in all downstream documents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June 26,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C4</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7A4000"/>
                <w:sz w:val="22"/>
                <w:szCs w:val="22"/>
              </w:rPr>
              <w:t xml:space="preserve">HIGH</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HYBRID authorship vs. IP Catalog sole ownership</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Research Corpus §3.1–3.3; IP Catalog (preamble + all entries)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Engage IP counsel; define HYBRID authorship policy; add provenance column to IP Catalog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 + IP Counsel</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July 17,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BLOCKED — awaiting counsel engagement</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C5</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555555"/>
                <w:sz w:val="22"/>
                <w:szCs w:val="22"/>
              </w:rPr>
              <w:t xml:space="preserve">MEDIUM</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Fail-closed principle vs. undocumented VOSS failure response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Governance Corpus §5.3; MasterBlueprint §3.3</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Document the VOSS hardware failure response: was fail-closed invoked? What state was recorded? Add hardware failure governance protocol to MasterBlueprint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July 10,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C6</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555555"/>
                <w:sz w:val="22"/>
                <w:szCs w:val="22"/>
              </w:rPr>
              <w:t xml:space="preserve">MEDIUM</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Nova Cortex (paper) vs. Nova (product) — no disambiguation</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IP Catalog; MasterBlueprint §3.2</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Write Nova disambiguation section: define relationship between the published architectural paper and the commercial product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July 10,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C7</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555555"/>
                <w:sz w:val="22"/>
                <w:szCs w:val="22"/>
              </w:rPr>
              <w:t xml:space="preserve">MEDIUM</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Story Forge as reference implementation vs. HYBRID primitive foundations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MasterBlueprint §4; Research Corpus §3.2–3.3</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Pending C4 resolution; add provenance note to Story Forge reference implementation designation once HYBRID policy is defined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 + IP Counsel</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July 17,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BLOCKED — pending C4</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C1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This is a documentation precision problem, not an architectural retraction. "Governance is structurally encoded at the binary level" describes how the system is designed — it remains true whether or not VOSS is currently online, the same way a blueprint describes a building whether or not it is constructed. The fix is one sentence, to be added wherever the structural governance claim appears in investor-facing or external-facing documents: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360"/>
                    <w:left w:type="dxa" w:w="504"/>
                    <w:bottom w:type="dxa" w:w="360"/>
                    <w:right w:type="dxa" w:w="504"/>
                  </w:tcMar>
                </w:tcPr>
                <w:p>
                  <w:pPr>
                    <w:spacing w:after="120" w:line="408" w:lineRule="auto"/>
                  </w:pPr>
                  <w:r>
                    <w:rPr>
                      <w:i/>
                      <w:iCs/>
                    </w:rPr>
                    <w:t xml:space="preserve">"Note: The governance architecture is encoded structurally from binary foundations upward. Current operational status of the VOSS execution layer is tracked separately in the system status register."</w:t>
                  </w:r>
                </w:p>
              </w:tc>
            </w:tr>
          </w:tbl>
          <w:p>
            <w:pPr>
              <w:spacing w:after="240" w:before="0"/>
            </w:pPr>
          </w:p>
          <w:p>
            <w:pPr>
              <w:spacing w:after="0" w:line="360" w:lineRule="auto"/>
            </w:pPr>
            <w:r>
              <w:rPr>
                <w:rFonts w:ascii="Calibri" w:cs="Calibri" w:eastAsia="Calibri" w:hAnsi="Calibri"/>
                <w:b w:val="false"/>
                <w:bCs w:val="false"/>
                <w:i w:val="false"/>
                <w:iCs w:val="false"/>
                <w:strike w:val="false"/>
                <w:color w:val="000000"/>
                <w:sz w:val="22"/>
                <w:szCs w:val="22"/>
              </w:rPr>
              <w:t xml:space="preserve">This preserves the architectural claim, adds operational transparency, and creates a pointer to a status register that should be maintained going forward.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C2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The commercial timeline and the architectural sequencing constraint are currently in direct conflict. The GlobalPricing Phase 1 milestone ("post-OTEM v6, ~6 months") cannot be given a delivery date until UL completion is estimated. Two options: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w:t>
            </w:r>
            <w:r>
              <w:rPr>
                <w:rFonts w:ascii="Calibri" w:cs="Calibri" w:eastAsia="Calibri" w:hAnsi="Calibri"/>
                <w:b w:val="false"/>
                <w:bCs w:val="false"/>
                <w:i w:val="false"/>
                <w:iCs w:val="false"/>
                <w:strike w:val="false"/>
                <w:color w:val="000000"/>
                <w:sz w:val="22"/>
                <w:szCs w:val="22"/>
              </w:rPr>
              <w:t xml:space="preserve"> Produce a UL lane-by-lane completion estimate and update the Phase 1 date accordingly.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w:t>
            </w:r>
            <w:r>
              <w:rPr>
                <w:rFonts w:ascii="Calibri" w:cs="Calibri" w:eastAsia="Calibri" w:hAnsi="Calibri"/>
                <w:b w:val="false"/>
                <w:bCs w:val="false"/>
                <w:i w:val="false"/>
                <w:iCs w:val="false"/>
                <w:strike w:val="false"/>
                <w:color w:val="000000"/>
                <w:sz w:val="22"/>
                <w:szCs w:val="22"/>
              </w:rPr>
              <w:t xml:space="preserve"> Reframe Phase 1 as "post-OTEM v6 unlock" without a fixed date, and add a UL completion tracker as the governing input.</w:t>
            </w:r>
          </w:p>
          <w:p>
            <w:pPr>
              <w:spacing w:after="0" w:line="360" w:lineRule="auto"/>
            </w:pPr>
            <w:r>
              <w:rPr>
                <w:rFonts w:ascii="Calibri" w:cs="Calibri" w:eastAsia="Calibri" w:hAnsi="Calibri"/>
                <w:b w:val="false"/>
                <w:bCs w:val="false"/>
                <w:i w:val="false"/>
                <w:iCs w:val="false"/>
                <w:strike w:val="false"/>
                <w:color w:val="000000"/>
                <w:sz w:val="22"/>
                <w:szCs w:val="22"/>
              </w:rPr>
              <w:t xml:space="preserve">Option (b) is safer for external documents — it prevents a hard timeline from being cited before the dependency is resolved.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C3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The Research Corpus records the honest epistemic status verbatim: the Law of Duality is a conditionally stable design principle with one rigorously derived anchor (waveguide) and other domains as open hypotheses. This language was dropped in every downstream document. The fix is not to weaken the architecture — the Law of Duality is a powerful and well-reasoned framework. The fix is to restore the precision that makes it credible. A hedged claim that is honest is stronger than an unhedged claim that can be challenged. The exact restoration language should be taken directly from the Research Corpus and applied consistently across MasterBlueprint §6, GlobalPricing, and Governance Corpus §3.3.</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C4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Three of the four core governance primitives (ZDT, Helix Drag Runtime Interface, Voss/AAIS Cryptographic Sigil) are marked [HYBRID] in the Research Corpus — defined as "Jon's architecture, AI-elaborated." The IP Catalog contains no such distinction. This creates a provenance gap at the most legally and commercially sensitive layer of the asset stack. The appropriate response is:</w:t>
            </w:r>
          </w:p>
          <w:p>
            <w:pPr>
              <w:spacing w:after="100" w:line="408" w:lineRule="auto"/>
              <w:ind w:left="240"/>
            </w:pPr>
            <w:r>
              <w:t xml:space="preserve">1.  </w:t>
            </w:r>
            <w:r>
              <w:rPr>
                <w:rFonts w:ascii="Calibri" w:cs="Calibri" w:eastAsia="Calibri" w:hAnsi="Calibri"/>
                <w:b/>
                <w:bCs/>
                <w:i w:val="false"/>
                <w:iCs w:val="false"/>
                <w:strike w:val="false"/>
                <w:color w:val="000000"/>
                <w:sz w:val="22"/>
                <w:szCs w:val="22"/>
              </w:rPr>
              <w:t xml:space="preserve">Immediately halt</w:t>
            </w:r>
            <w:r>
              <w:rPr>
                <w:rFonts w:ascii="Calibri" w:cs="Calibri" w:eastAsia="Calibri" w:hAnsi="Calibri"/>
                <w:b w:val="false"/>
                <w:bCs w:val="false"/>
                <w:i w:val="false"/>
                <w:iCs w:val="false"/>
                <w:strike w:val="false"/>
                <w:color w:val="000000"/>
                <w:sz w:val="22"/>
                <w:szCs w:val="22"/>
              </w:rPr>
              <w:t xml:space="preserve"> any external IP disclosures, licensing discussions, or fundraising that depend on sole authorship of these assets.</w:t>
            </w:r>
          </w:p>
          <w:p>
            <w:pPr>
              <w:spacing w:after="100" w:line="408" w:lineRule="auto"/>
              <w:ind w:left="240"/>
            </w:pPr>
            <w:r>
              <w:t xml:space="preserve">2.  </w:t>
            </w:r>
            <w:r>
              <w:rPr>
                <w:rFonts w:ascii="Calibri" w:cs="Calibri" w:eastAsia="Calibri" w:hAnsi="Calibri"/>
                <w:b/>
                <w:bCs/>
                <w:i w:val="false"/>
                <w:iCs w:val="false"/>
                <w:strike w:val="false"/>
                <w:color w:val="000000"/>
                <w:sz w:val="22"/>
                <w:szCs w:val="22"/>
              </w:rPr>
              <w:t xml:space="preserve">Engage IP counsel</w:t>
            </w:r>
            <w:r>
              <w:rPr>
                <w:rFonts w:ascii="Calibri" w:cs="Calibri" w:eastAsia="Calibri" w:hAnsi="Calibri"/>
                <w:b w:val="false"/>
                <w:bCs w:val="false"/>
                <w:i w:val="false"/>
                <w:iCs w:val="false"/>
                <w:strike w:val="false"/>
                <w:color w:val="000000"/>
                <w:sz w:val="22"/>
                <w:szCs w:val="22"/>
              </w:rPr>
              <w:t xml:space="preserve"> to assess the rights position on HYBRID works under applicable jurisdiction.</w:t>
            </w:r>
          </w:p>
          <w:p>
            <w:pPr>
              <w:spacing w:after="100" w:line="408" w:lineRule="auto"/>
              <w:ind w:left="240"/>
            </w:pPr>
            <w:r>
              <w:t xml:space="preserve">3.  </w:t>
            </w:r>
            <w:r>
              <w:rPr>
                <w:rFonts w:ascii="Calibri" w:cs="Calibri" w:eastAsia="Calibri" w:hAnsi="Calibri"/>
                <w:b/>
                <w:bCs/>
                <w:i w:val="false"/>
                <w:iCs w:val="false"/>
                <w:strike w:val="false"/>
                <w:color w:val="000000"/>
                <w:sz w:val="22"/>
                <w:szCs w:val="22"/>
              </w:rPr>
              <w:t xml:space="preserve">Define a HYBRID authorship policy</w:t>
            </w:r>
            <w:r>
              <w:rPr>
                <w:rFonts w:ascii="Calibri" w:cs="Calibri" w:eastAsia="Calibri" w:hAnsi="Calibri"/>
                <w:b w:val="false"/>
                <w:bCs w:val="false"/>
                <w:i w:val="false"/>
                <w:iCs w:val="false"/>
                <w:strike w:val="false"/>
                <w:color w:val="000000"/>
                <w:sz w:val="22"/>
                <w:szCs w:val="22"/>
              </w:rPr>
              <w:t xml:space="preserve"> that specifies what "Jon's architecture, AI-elaborated" means for ownership, licensing, and valuation.</w:t>
            </w:r>
          </w:p>
          <w:p>
            <w:pPr>
              <w:spacing w:after="0" w:line="360" w:lineRule="auto"/>
            </w:pPr>
            <w:r>
              <w:rPr>
                <w:rFonts w:ascii="Calibri" w:cs="Calibri" w:eastAsia="Calibri" w:hAnsi="Calibri"/>
                <w:b w:val="false"/>
                <w:bCs w:val="false"/>
                <w:i w:val="false"/>
                <w:iCs w:val="false"/>
                <w:strike w:val="false"/>
                <w:color w:val="000000"/>
                <w:sz w:val="22"/>
                <w:szCs w:val="22"/>
              </w:rPr>
              <w:t xml:space="preserve">This is not a crisis — HYBRID works may be fully protectable. But the answer requires legal analysis, not assumption.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C5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The fail-closed principle is declared as a structural commitment. VOSS's hardware failure is a real-world test of that commitment. No document records what actually happened. A governance architecture that claims to audit itself must audit its own failure events. Required: an incident record for the VOSS hardware failure — date, failure mode, system response, governance state at time of failure, recovery status, and whether the fail-closed protocol was invoked. This becomes the first entry in the system's hardware failure governance log.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C6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Nova Cortex (Zenodo paper) and Nova (commercial product for neurodivergent users) share a name but appear to serve different purposes. No document establishes their relationship. Required: a one-page Nova disambiguation section that answers — Is the product an implementation of the paper's architecture? Does the paper describe the cognitive substrate the product runs on? Are they the same entity at different stages of development? This disambiguation is a prerequisite for the Nova product governance specification (see G4).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C7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Blocked on C4. Once the HYBRID authorship policy is defined, Story Forge's "reference implementation" designation needs a provenance annotation: which components are human-authored, which are HYBRID, and what the designation means for the governance model's authority. This cannot be resolved before C4.</w:t>
            </w:r>
          </w:p>
        </w:tc>
      </w:tr>
    </w:tbl>
    <w:p>
      <w:pPr>
        <w:spacing w:after="240" w:before="0"/>
      </w:pPr>
    </w:p>
    <w:p>
      <w:pPr>
        <w:pBdr>
          <w:bottom w:val="single" w:color="000000" w:sz="6"/>
        </w:pBdr>
        <w:spacing w:after="240" w:before="240"/>
      </w:pPr>
    </w:p>
    <w:p>
      <w:pPr>
        <w:pStyle w:val="Heading1"/>
        <w:spacing w:after="100" w:before="480" w:line="312" w:lineRule="auto"/>
      </w:pPr>
      <w:r>
        <w:rPr>
          <w:rFonts w:ascii="Calibri" w:cs="Calibri" w:eastAsia="Calibri" w:hAnsi="Calibri"/>
          <w:color w:val="1A1A1A"/>
          <w:sz w:val="44"/>
          <w:szCs w:val="44"/>
        </w:rPr>
        <w:t xml:space="preserve">Section 3 — Gap Resolution Tracker</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table below provides a structured summary of all nine gaps. Full resolution notes follow the table, one per item.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ID</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Severity</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Short Description</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Documents Affected</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Proposed Resolution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Owner</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Target Date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Status</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G1</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CRITICAL</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Chaos Pattern Engineer: published on Zenodo, absent from all corpus documents</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documents (absent from all)</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Read and position the CPE specification within the governance architecture; add to IP Catalog; add to MasterBlueprint as a named subsystem or role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June 19,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 — CPE doc currently open in browser</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G2</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7A4000"/>
                <w:sz w:val="22"/>
                <w:szCs w:val="22"/>
              </w:rPr>
              <w:t xml:space="preserve">HIGH</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Wolf CoG OS: IP Asset #1, no governance model defined</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except IP Catalog</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Define Wolf CoG OS's relationship to VOSS, UL substrate, and the Law of Duality; add governance model section to MasterBlueprint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July 10,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G3</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7A4000"/>
                <w:sz w:val="22"/>
                <w:szCs w:val="22"/>
              </w:rPr>
              <w:t xml:space="preserve">HIGH</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LGS and HRC: registered IP with no runtime integration specified</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MasterBlueprint; GlobalPricing</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Write LGS-to-runtime integration spec; write HRC-to-Jarvis interface spec</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July 10,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G4</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7A4000"/>
                <w:sz w:val="22"/>
                <w:szCs w:val="22"/>
              </w:rPr>
              <w:t xml:space="preserve">HIGH</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Nova product governance: no data sovereignty, consent, or accessibility governance architecture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documents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Write Nova Product Governance Specification: data governance, user sovereignty model, consent architecture, accessibility governance standard, crisis-state protocol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July 17,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G5</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7A4000"/>
                <w:sz w:val="22"/>
                <w:szCs w:val="22"/>
              </w:rPr>
              <w:t xml:space="preserve">HIGH</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UL Lane completion: no timeline, blocking OTEM v6 and Phase 1</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documents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Produce UL completion roadmap (lane-by-lane milestones, resource requirements, estimated completion range)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July 3,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G6</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555555"/>
                <w:sz w:val="22"/>
                <w:szCs w:val="22"/>
              </w:rPr>
              <w:t xml:space="preserve">MEDIUM</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Error log (OneDrive, May 10, 2026): unacknowledged in governance audit chain</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governance documents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Review error_log.txt; determine if related to VOSS failure; create incident record; add to governance audit log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June 19,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G7</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555555"/>
                <w:sz w:val="22"/>
                <w:szCs w:val="22"/>
              </w:rPr>
              <w:t xml:space="preserve">MEDIUM</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HYBRID IP valuation: no methodology for AI-co-created assets</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GlobalPricing</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Pending C4; once HYBRID policy defined, produce revised valuation methodology for HYBRID assets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 + IP Counsel</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July 17,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BLOCKED — pending C4</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G8</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555555"/>
                <w:sz w:val="22"/>
                <w:szCs w:val="22"/>
              </w:rPr>
              <w:t xml:space="preserve">MEDIUM</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Governance version management: no versioning scheme for invariants</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documents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Define governance versioning policy: authority to modify invariants, breaking change definition, migration path, Jarvis authority gate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July 17,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G9</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555555"/>
                <w:sz w:val="22"/>
                <w:szCs w:val="22"/>
              </w:rPr>
              <w:t xml:space="preserve">MEDIUM</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ARIS during hardware layer failure: no specified behavior</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documents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Write ARIS hardware-layer failure protocol: what does ARIS do when VOSS is absent? Halt, log, alert, or degraded mode? How does fail-closed apply one layer up?</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July 10, 2026</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G1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The Chaos Pattern Engineer (CPE) specification is published on Zenodo (v1.1.0) and currently open in the author's browser. It does not appear in any corpus document — not the IP Catalog, not the MasterBlueprint, not the Research Corpus, not GlobalPricing, not the Governance Corpus. A published specification that is absent from the IP Catalog is an immediate provenance and cataloguing failure. The first action is to read the CPE specification and determine: Is the CPE a subsystem? A role definition? A testing persona for the governance model? An interface between ARIS and AAIS-EVAL? Once positioned, it needs to be added to the IP Catalog as a formally published work, and its governance role needs to be defined in the MasterBlueprint. This is the highest-priority gap — it involves a published document and the corpus does not account for it.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G2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Wolf CoG OS is listed first in the IP Catalog — the ordering is not accidental in a catalog of this kind. But it has zero presence in the MasterBlueprint, Research Corpus, or GlobalPricing. Key questions to answer in the resolution: Does Wolf CoG OS run on VOSS? Is it a predecessor to VOSS, a parallel architecture, or a higher-level OS that sits above VOSS? Does it implement the Law of Duality? Does it carry Voss/Delta invariants? What is its relationship to the Universal Language substrate? Until these are answered, the IP Catalog lists an asset whose governance model is undefined — which is itself a governance gap.</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G3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LGS and HRC occupy the semantic and human-interface layers of the governance stack respectively, but neither document specifies how they connect to the runtime. LGS likely sits above the UL substrate — it may be the governed semantic layer that the UL substrate compiles into. HRC likely defines the contractual interface between human operators and Jarvis's constitutional authority. If so, HRCs may be the mechanism by which operator sovereignty is formally expressed — making them a critical missing link in the constitutional authority model. Both need a one-page runtime integration specification that answers: where in the stack, what enforces them, and what constitutes a violation.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G4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Nova is described as the primary commercial surface of Project Infinity, designed specifically for neurodivergent users. This combination — primary commercial surface, vulnerable user population — creates the highest governance obligation in the entire system. Yet no document specifies a governance model for Nova as a product. The Nova Product Governance Specification needs to address: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 Data governance</w:t>
            </w:r>
            <w:r>
              <w:rPr>
                <w:rFonts w:ascii="Calibri" w:cs="Calibri" w:eastAsia="Calibri" w:hAnsi="Calibri"/>
                <w:b w:val="false"/>
                <w:bCs w:val="false"/>
                <w:i w:val="false"/>
                <w:iCs w:val="false"/>
                <w:strike w:val="false"/>
                <w:color w:val="000000"/>
                <w:sz w:val="22"/>
                <w:szCs w:val="22"/>
              </w:rPr>
              <w:t xml:space="preserve"> — what is collected, how it is stored, who owns it.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 User sovereignty</w:t>
            </w:r>
            <w:r>
              <w:rPr>
                <w:rFonts w:ascii="Calibri" w:cs="Calibri" w:eastAsia="Calibri" w:hAnsi="Calibri"/>
                <w:b w:val="false"/>
                <w:bCs w:val="false"/>
                <w:i w:val="false"/>
                <w:iCs w:val="false"/>
                <w:strike w:val="false"/>
                <w:color w:val="000000"/>
                <w:sz w:val="22"/>
                <w:szCs w:val="22"/>
              </w:rPr>
              <w:t xml:space="preserve"> — how does a Nova user exercise rights over their data.</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 Consent architecture</w:t>
            </w:r>
            <w:r>
              <w:rPr>
                <w:rFonts w:ascii="Calibri" w:cs="Calibri" w:eastAsia="Calibri" w:hAnsi="Calibri"/>
                <w:b w:val="false"/>
                <w:bCs w:val="false"/>
                <w:i w:val="false"/>
                <w:iCs w:val="false"/>
                <w:strike w:val="false"/>
                <w:color w:val="000000"/>
                <w:sz w:val="22"/>
                <w:szCs w:val="22"/>
              </w:rPr>
              <w:t xml:space="preserve"> — especially for neurodivergent users who may have different consent needs.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 Accessibility governance standard</w:t>
            </w:r>
            <w:r>
              <w:rPr>
                <w:rFonts w:ascii="Calibri" w:cs="Calibri" w:eastAsia="Calibri" w:hAnsi="Calibri"/>
                <w:b w:val="false"/>
                <w:bCs w:val="false"/>
                <w:i w:val="false"/>
                <w:iCs w:val="false"/>
                <w:strike w:val="false"/>
                <w:color w:val="000000"/>
                <w:sz w:val="22"/>
                <w:szCs w:val="22"/>
              </w:rPr>
              <w:t xml:space="preserve"> — how does the "accessibility-first at every scale" value translate into enforceable product requirements.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(e) Crisis-state protocol</w:t>
            </w:r>
            <w:r>
              <w:rPr>
                <w:rFonts w:ascii="Calibri" w:cs="Calibri" w:eastAsia="Calibri" w:hAnsi="Calibri"/>
                <w:b w:val="false"/>
                <w:bCs w:val="false"/>
                <w:i w:val="false"/>
                <w:iCs w:val="false"/>
                <w:strike w:val="false"/>
                <w:color w:val="000000"/>
                <w:sz w:val="22"/>
                <w:szCs w:val="22"/>
              </w:rPr>
              <w:t xml:space="preserve"> — what is the governance model for a neurodivergent user in psychological distress.</w:t>
            </w:r>
          </w:p>
          <w:p>
            <w:pPr>
              <w:spacing w:after="0" w:line="360" w:lineRule="auto"/>
            </w:pPr>
            <w:r>
              <w:rPr>
                <w:rFonts w:ascii="Calibri" w:cs="Calibri" w:eastAsia="Calibri" w:hAnsi="Calibri"/>
                <w:b w:val="false"/>
                <w:bCs w:val="false"/>
                <w:i w:val="false"/>
                <w:iCs w:val="false"/>
                <w:strike w:val="false"/>
                <w:color w:val="000000"/>
                <w:sz w:val="22"/>
                <w:szCs w:val="22"/>
              </w:rPr>
              <w:t xml:space="preserve">This specification is a prerequisite for any commercial launch of Nova.</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G5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The UL completion gap is the blocking dependency for the entire commercial roadmap. Lane 4 of 55 is the current state. No document provides a completion estimate, resource requirement, or milestone structure for Lanes 5–55. Two additional questions need answers: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w:t>
            </w:r>
            <w:r>
              <w:rPr>
                <w:rFonts w:ascii="Calibri" w:cs="Calibri" w:eastAsia="Calibri" w:hAnsi="Calibri"/>
                <w:b w:val="false"/>
                <w:bCs w:val="false"/>
                <w:i w:val="false"/>
                <w:iCs w:val="false"/>
                <w:strike w:val="false"/>
                <w:color w:val="000000"/>
                <w:sz w:val="22"/>
                <w:szCs w:val="22"/>
              </w:rPr>
              <w:t xml:space="preserve"> Can the system operate under a partial UL envelope — and if so, does partial coverage create partial governance (which may be worse than no governance at all)?</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w:t>
            </w:r>
            <w:r>
              <w:rPr>
                <w:rFonts w:ascii="Calibri" w:cs="Calibri" w:eastAsia="Calibri" w:hAnsi="Calibri"/>
                <w:b w:val="false"/>
                <w:bCs w:val="false"/>
                <w:i w:val="false"/>
                <w:iCs w:val="false"/>
                <w:strike w:val="false"/>
                <w:color w:val="000000"/>
                <w:sz w:val="22"/>
                <w:szCs w:val="22"/>
              </w:rPr>
              <w:t xml:space="preserve"> Does the fail-closed principle apply to incomplete UL coverage — i.e., is Lane 4 of 55 already a governance breach condition?</w:t>
            </w:r>
          </w:p>
          <w:p>
            <w:pPr>
              <w:spacing w:after="0" w:line="360" w:lineRule="auto"/>
            </w:pPr>
            <w:r>
              <w:rPr>
                <w:rFonts w:ascii="Calibri" w:cs="Calibri" w:eastAsia="Calibri" w:hAnsi="Calibri"/>
                <w:b w:val="false"/>
                <w:bCs w:val="false"/>
                <w:i w:val="false"/>
                <w:iCs w:val="false"/>
                <w:strike w:val="false"/>
                <w:color w:val="000000"/>
                <w:sz w:val="22"/>
                <w:szCs w:val="22"/>
              </w:rPr>
              <w:t xml:space="preserve">The UL completion roadmap is the single most important operational document missing from the corpus.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G6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The error_log.txt on OneDrive is dated May 10, 2026 — the day after the Research Corpus was compiled. A governance architecture that includes constitutional-level audit rights, SHA256 integrity checks, and cryptographic state attestation must account for its own error log. Review the log immediately. If it documents a system failure, it is the first entry in the incident record that C5's resolution note calls for. If it documents something else, it should still be reviewed and either incorporated into the audit chain or formally closed as non-applicable. An unread error log in a system that claims to be auditable is a contradiction in itself.</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G7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Blocked on C4. Once the HYBRID authorship policy is established, the IP valuation methodology in GlobalPricing needs to be revised to distinguish between: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 Purely human-authored assets</w:t>
            </w:r>
            <w:r>
              <w:rPr>
                <w:rFonts w:ascii="Calibri" w:cs="Calibri" w:eastAsia="Calibri" w:hAnsi="Calibri"/>
                <w:b w:val="false"/>
                <w:bCs w:val="false"/>
                <w:i w:val="false"/>
                <w:iCs w:val="false"/>
                <w:strike w:val="false"/>
                <w:color w:val="000000"/>
                <w:sz w:val="22"/>
                <w:szCs w:val="22"/>
              </w:rPr>
              <w:t xml:space="preserve"> — standard IP valuation applies.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 HYBRID assets</w:t>
            </w:r>
            <w:r>
              <w:rPr>
                <w:rFonts w:ascii="Calibri" w:cs="Calibri" w:eastAsia="Calibri" w:hAnsi="Calibri"/>
                <w:b w:val="false"/>
                <w:bCs w:val="false"/>
                <w:i w:val="false"/>
                <w:iCs w:val="false"/>
                <w:strike w:val="false"/>
                <w:color w:val="000000"/>
                <w:sz w:val="22"/>
                <w:szCs w:val="22"/>
              </w:rPr>
              <w:t xml:space="preserve"> — valuation method depends on rights position established by IP counsel.</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 AI-generated components within HYBRID works</w:t>
            </w:r>
            <w:r>
              <w:rPr>
                <w:rFonts w:ascii="Calibri" w:cs="Calibri" w:eastAsia="Calibri" w:hAnsi="Calibri"/>
                <w:b w:val="false"/>
                <w:bCs w:val="false"/>
                <w:i w:val="false"/>
                <w:iCs w:val="false"/>
                <w:strike w:val="false"/>
                <w:color w:val="000000"/>
                <w:sz w:val="22"/>
                <w:szCs w:val="22"/>
              </w:rPr>
              <w:t xml:space="preserve"> — may not be protectable and should be excluded from core IP valuation.</w:t>
            </w:r>
          </w:p>
          <w:p>
            <w:pPr>
              <w:spacing w:after="0" w:line="360" w:lineRule="auto"/>
            </w:pPr>
            <w:r>
              <w:rPr>
                <w:rFonts w:ascii="Calibri" w:cs="Calibri" w:eastAsia="Calibri" w:hAnsi="Calibri"/>
                <w:b w:val="false"/>
                <w:bCs w:val="false"/>
                <w:i w:val="false"/>
                <w:iCs w:val="false"/>
                <w:strike w:val="false"/>
                <w:color w:val="000000"/>
                <w:sz w:val="22"/>
                <w:szCs w:val="22"/>
              </w:rPr>
              <w:t xml:space="preserve">The current GlobalPricing valuations do not make these distinctions and therefore overstate the certain IP position.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G8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The governance model claims cryptographic proof of corridor compliance. But there is no mechanism for managing changes to the corridor definition itself. A governance versioning policy needs to specify: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w:t>
            </w:r>
            <w:r>
              <w:rPr>
                <w:rFonts w:ascii="Calibri" w:cs="Calibri" w:eastAsia="Calibri" w:hAnsi="Calibri"/>
                <w:b w:val="false"/>
                <w:bCs w:val="false"/>
                <w:i w:val="false"/>
                <w:iCs w:val="false"/>
                <w:strike w:val="false"/>
                <w:color w:val="000000"/>
                <w:sz w:val="22"/>
                <w:szCs w:val="22"/>
              </w:rPr>
              <w:t xml:space="preserve"> What constitutes a breaking change to a governance invariant.</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w:t>
            </w:r>
            <w:r>
              <w:rPr>
                <w:rFonts w:ascii="Calibri" w:cs="Calibri" w:eastAsia="Calibri" w:hAnsi="Calibri"/>
                <w:b w:val="false"/>
                <w:bCs w:val="false"/>
                <w:i w:val="false"/>
                <w:iCs w:val="false"/>
                <w:strike w:val="false"/>
                <w:color w:val="000000"/>
                <w:sz w:val="22"/>
                <w:szCs w:val="22"/>
              </w:rPr>
              <w:t xml:space="preserve"> Who has authority to approve a change — is Jarvis's constitutional authority the approval gate?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w:t>
            </w:r>
            <w:r>
              <w:rPr>
                <w:rFonts w:ascii="Calibri" w:cs="Calibri" w:eastAsia="Calibri" w:hAnsi="Calibri"/>
                <w:b w:val="false"/>
                <w:bCs w:val="false"/>
                <w:i w:val="false"/>
                <w:iCs w:val="false"/>
                <w:strike w:val="false"/>
                <w:color w:val="000000"/>
                <w:sz w:val="22"/>
                <w:szCs w:val="22"/>
              </w:rPr>
              <w:t xml:space="preserve"> What is the migration path for systems running under an older governance version?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w:t>
            </w:r>
            <w:r>
              <w:rPr>
                <w:rFonts w:ascii="Calibri" w:cs="Calibri" w:eastAsia="Calibri" w:hAnsi="Calibri"/>
                <w:b w:val="false"/>
                <w:bCs w:val="false"/>
                <w:i w:val="false"/>
                <w:iCs w:val="false"/>
                <w:strike w:val="false"/>
                <w:color w:val="000000"/>
                <w:sz w:val="22"/>
                <w:szCs w:val="22"/>
              </w:rPr>
              <w:t xml:space="preserve"> How is a version change announced and cryptographically attested?</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(e)</w:t>
            </w:r>
            <w:r>
              <w:rPr>
                <w:rFonts w:ascii="Calibri" w:cs="Calibri" w:eastAsia="Calibri" w:hAnsi="Calibri"/>
                <w:b w:val="false"/>
                <w:bCs w:val="false"/>
                <w:i w:val="false"/>
                <w:iCs w:val="false"/>
                <w:strike w:val="false"/>
                <w:color w:val="000000"/>
                <w:sz w:val="22"/>
                <w:szCs w:val="22"/>
              </w:rPr>
              <w:t xml:space="preserve"> What is the version identifier scheme for the governance model itself (distinct from document version numbers).</w:t>
            </w:r>
          </w:p>
          <w:p>
            <w:pPr>
              <w:spacing w:after="0" w:line="360" w:lineRule="auto"/>
            </w:pPr>
            <w:r>
              <w:rPr>
                <w:rFonts w:ascii="Calibri" w:cs="Calibri" w:eastAsia="Calibri" w:hAnsi="Calibri"/>
                <w:b w:val="false"/>
                <w:bCs w:val="false"/>
                <w:i w:val="false"/>
                <w:iCs w:val="false"/>
                <w:strike w:val="false"/>
                <w:color w:val="000000"/>
                <w:sz w:val="22"/>
                <w:szCs w:val="22"/>
              </w:rPr>
              <w:t xml:space="preserve">This policy is a prerequisite for the governance model being genuinely self-governing.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999999" w:sz="24"/>
              <w:bottom w:val="nil" w:color="FFFFFF" w:sz="0"/>
              <w:right w:val="nil" w:color="FFFFFF" w:sz="0"/>
            </w:tcBorders>
            <w:shd w:fill="F9F9F9" w:color="auto" w:val="clear"/>
            <w:tcMar>
              <w:top w:type="dxa" w:w="120"/>
              <w:left w:type="dxa" w:w="180"/>
              <w:bottom w:type="dxa" w:w="120"/>
              <w:right w:type="dxa" w:w="180"/>
            </w:tcMar>
          </w:tcPr>
          <w:p>
            <w:pPr>
              <w:spacing w:after="120" w:line="408" w:lineRule="auto"/>
            </w:pPr>
            <w:r>
              <w:rPr>
                <w:b/>
                <w:bCs/>
                <w:i w:val="false"/>
                <w:iCs w:val="false"/>
                <w:color w:val="2B5797"/>
              </w:rPr>
              <w:t xml:space="preserve">G9 — Resolution Note</w:t>
            </w:r>
          </w:p>
          <w:p>
            <w:pPr>
              <w:spacing w:after="0" w:line="360" w:lineRule="auto"/>
            </w:pPr>
            <w:r>
              <w:rPr>
                <w:rFonts w:ascii="Calibri" w:cs="Calibri" w:eastAsia="Calibri" w:hAnsi="Calibri"/>
                <w:b w:val="false"/>
                <w:bCs w:val="false"/>
                <w:i w:val="false"/>
                <w:iCs w:val="false"/>
                <w:strike w:val="false"/>
                <w:color w:val="000000"/>
                <w:sz w:val="22"/>
                <w:szCs w:val="22"/>
              </w:rPr>
              <w:t xml:space="preserve">ARIS has a kill switch, SHA256 integrity checks, and correction bounds defined in the MasterBlueprint. But ARIS runs above VOSS. When VOSS went offline due to hardware failure, ARIS lost its execution substrate. The ARIS hardware-layer failure protocol needs to specify:</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w:t>
            </w:r>
            <w:r>
              <w:rPr>
                <w:rFonts w:ascii="Calibri" w:cs="Calibri" w:eastAsia="Calibri" w:hAnsi="Calibri"/>
                <w:b w:val="false"/>
                <w:bCs w:val="false"/>
                <w:i w:val="false"/>
                <w:iCs w:val="false"/>
                <w:strike w:val="false"/>
                <w:color w:val="000000"/>
                <w:sz w:val="22"/>
                <w:szCs w:val="22"/>
              </w:rPr>
              <w:t xml:space="preserve"> What ARIS does when its execution substrate is absent — halt, log, alert, or degraded mode?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(b)</w:t>
            </w:r>
            <w:r>
              <w:rPr>
                <w:rFonts w:ascii="Calibri" w:cs="Calibri" w:eastAsia="Calibri" w:hAnsi="Calibri"/>
                <w:b w:val="false"/>
                <w:bCs w:val="false"/>
                <w:i w:val="false"/>
                <w:iCs w:val="false"/>
                <w:strike w:val="false"/>
                <w:color w:val="000000"/>
                <w:sz w:val="22"/>
                <w:szCs w:val="22"/>
              </w:rPr>
              <w:t xml:space="preserve"> How does the fail-closed principle apply one layer up from VOSS?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(c)</w:t>
            </w:r>
            <w:r>
              <w:rPr>
                <w:rFonts w:ascii="Calibri" w:cs="Calibri" w:eastAsia="Calibri" w:hAnsi="Calibri"/>
                <w:b w:val="false"/>
                <w:bCs w:val="false"/>
                <w:i w:val="false"/>
                <w:iCs w:val="false"/>
                <w:strike w:val="false"/>
                <w:color w:val="000000"/>
                <w:sz w:val="22"/>
                <w:szCs w:val="22"/>
              </w:rPr>
              <w:t xml:space="preserve"> Is ARIS's kill switch reachable when VOSS is offline?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(d)</w:t>
            </w:r>
            <w:r>
              <w:rPr>
                <w:rFonts w:ascii="Calibri" w:cs="Calibri" w:eastAsia="Calibri" w:hAnsi="Calibri"/>
                <w:b w:val="false"/>
                <w:bCs w:val="false"/>
                <w:i w:val="false"/>
                <w:iCs w:val="false"/>
                <w:strike w:val="false"/>
                <w:color w:val="000000"/>
                <w:sz w:val="22"/>
                <w:szCs w:val="22"/>
              </w:rPr>
              <w:t xml:space="preserve"> What is the recovery sequence when VOSS comes back online — does ARIS resume automatically or require manual re-authorization from Jarvis?</w:t>
            </w:r>
          </w:p>
          <w:p>
            <w:pPr>
              <w:spacing w:after="0" w:line="360" w:lineRule="auto"/>
            </w:pPr>
            <w:r>
              <w:rPr>
                <w:rFonts w:ascii="Calibri" w:cs="Calibri" w:eastAsia="Calibri" w:hAnsi="Calibri"/>
                <w:b w:val="false"/>
                <w:bCs w:val="false"/>
                <w:i w:val="false"/>
                <w:iCs w:val="false"/>
                <w:strike w:val="false"/>
                <w:color w:val="000000"/>
                <w:sz w:val="22"/>
                <w:szCs w:val="22"/>
              </w:rPr>
              <w:t xml:space="preserve">This protocol connects directly to C5 (VOSS failure record) and must be consistent with the fail-closed commitment.</w:t>
            </w:r>
          </w:p>
        </w:tc>
      </w:tr>
    </w:tbl>
    <w:p>
      <w:pPr>
        <w:spacing w:after="240" w:before="0"/>
      </w:pPr>
    </w:p>
    <w:p>
      <w:pPr>
        <w:pBdr>
          <w:bottom w:val="single" w:color="000000" w:sz="6"/>
        </w:pBdr>
        <w:spacing w:after="240" w:before="240"/>
      </w:pPr>
    </w:p>
    <w:p>
      <w:pPr>
        <w:pStyle w:val="Heading1"/>
        <w:spacing w:after="100" w:before="480" w:line="312" w:lineRule="auto"/>
      </w:pPr>
      <w:r>
        <w:rPr>
          <w:rFonts w:ascii="Calibri" w:cs="Calibri" w:eastAsia="Calibri" w:hAnsi="Calibri"/>
          <w:color w:val="1A1A1A"/>
          <w:sz w:val="44"/>
          <w:szCs w:val="44"/>
        </w:rPr>
        <w:t xml:space="preserve">Section 4 — Priority Order With Rationale</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priority ordering reflects both urgency and dependency. Items that block external communications or chain-block other items are sequenced first. Where items are sequenced on each other, the dependency is noted.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C1 — One-sentence fix; highest external visibility risk.</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A single sentence in three documents eliminates the highest-visibility credibility risk in the corpus. The architectural claim is correct. The absence of operational status language is the only problem. This takes one hour to fix and should not wait.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C3 — Restore epistemic markers; integrity before any external engagement.</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Research Corpus is the honest record. Every downstream document dropped the hedge on the Law of Duality. Restoring the hedge is not a concession — it is the intellectual credibility that makes the architecture trustworthy. This must be done before any academic, investor, or partner engagement.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C4 — Engage IP counsel; this week, not next month.</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decision to engage counsel is a one-day action. The counsel engagement itself takes time. Starting the clock this week means the HYBRID rights question can be resolved before any of the blocked items (C7, G7) need to move. Every day of delay is a day the corpus operates with an unresolved provenance gap at its commercial core.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G1 — Position the Chaos Pattern Engineer in the corpus.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A published Zenodo specification that the IP Catalog does not account for is an active gap in the record. Read the CPE document, position it in the architecture, and add it to the catalog. This takes one focused session and closes a gap that is already public.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G5 — UL completion roadmap; unblocks everything commercial.</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commercial roadmap is blocked. The Phase 1 launch, OTEM v6 unlock, and Story Forge SaaS launch all depend on UL completion. A lane-by-lane estimate — even a rough one — unblocks every downstream commercial planning decision.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C2 — Update commercial timeline after G5.</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 GlobalPricing Phase 1 timeline cannot be corrected until G5 produces a UL completion estimate. These two items are sequenced: G5 first, C2 second.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G4 — Nova Product Governance Specification.</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Nova is the primary commercial surface and involves a vulnerable user population. The governance specification must exist before any commercial launch activity.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G2, G3 — Wolf CoG OS and LGS/HRC runtime integration specs.</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Both are architectural specification gaps. Neither blocks external activity directly but both create internal integrity gaps that compound over time.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C5, G9 — VOSS failure record and ARIS protocol.</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These are connected. Once the VOSS failure is formally documented (C5), the ARIS hardware-layer failure protocol can be written against it (G9).</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G6 — Review error log.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Low effort, potentially high information yield. Should be done in the same session as C5.</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C6, C7, G7, G8 — Disambiguation, provenance, valuation, versioning.</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All are important but none block external activity immediately. Address after the top ten.</w:t>
      </w:r>
    </w:p>
    <w:p>
      <w:pPr>
        <w:pBdr>
          <w:bottom w:val="single" w:color="000000" w:sz="6"/>
        </w:pBdr>
        <w:spacing w:after="240" w:before="240"/>
      </w:pPr>
    </w:p>
    <w:p>
      <w:pPr>
        <w:pStyle w:val="Heading1"/>
        <w:spacing w:after="100" w:before="480" w:line="312" w:lineRule="auto"/>
      </w:pPr>
      <w:r>
        <w:rPr>
          <w:rFonts w:ascii="Calibri" w:cs="Calibri" w:eastAsia="Calibri" w:hAnsi="Calibri"/>
          <w:color w:val="1A1A1A"/>
          <w:sz w:val="44"/>
          <w:szCs w:val="44"/>
        </w:rPr>
        <w:t xml:space="preserve">Section 5 — Immediate Actions (Next 7–14 Days)</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table below lists every action due within 14 days of the date of this document. Actions are ordered by due date, then by dependency chain. All actions marked OPEN are unstarted as of June 12,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5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Action</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Owner</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Due</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Depends 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Status</w:t>
            </w:r>
          </w:p>
        </w:tc>
      </w:tr>
      <w:tr>
        <w:trPr>
          <w:tblHeader w:val="false"/>
        </w:trPr>
        <w:tc>
          <w:tcPr>
            <w:tcW w:type="pct" w:w="5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Contact IP counsel re: HYBRID authorship policy — initiate engagement, brief on [HYBRID] classification in Research Corpus, request rights assessment for AI-elaborated works</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June 16, 2026</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5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Add operational status sentence to MasterBlueprint §6, GlobalPricing §1, Governance Corpus §3 — use suggested language from C1 resolution note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June 19, 2026</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5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Restore Law of Duality hedge language to MasterBlueprint §6, GlobalPricing, Governance Corpus §3.3 — use Research Corpus §2.1 as authoritative source text</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June 19, 2026</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5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Read CPE v1.1.0 specification (Zenodo) and draft positioning memo — determine whether CPE is subsystem, role, testing persona, or ARIS/AAIS-EVAL interface; add to IP Catalog</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June 19, 2026</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5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Review error_log.txt (OneDrive, May 10, 2026) and create incident record — determine relation to VOSS failure; add to governance audit log or formally close as non-applicable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June 19, 2026</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5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Begin UL lane completion estimate (Lanes 5–55) — lane-by-lane or milestone-based; include resource requirements and estimated completion range; output feeds C2 and G5</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June 26, 2026</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r>
        <w:trPr>
          <w:tblHeader w:val="false"/>
        </w:trPr>
        <w:tc>
          <w:tcPr>
            <w:tcW w:type="pct" w:w="5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Write Nova disambiguation memo — Nova Cortex (Zenodo paper) vs. Nova (commercial product); establish relationship, define scope boundary; prerequisite for G4</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June 26, 2026</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5C1A"/>
                <w:sz w:val="22"/>
                <w:szCs w:val="22"/>
              </w:rPr>
              <w:t xml:space="preserve">OPEN</w:t>
            </w:r>
          </w:p>
        </w:tc>
      </w:tr>
    </w:tbl>
    <w:p>
      <w:pPr>
        <w:spacing w:after="200" w:before="0"/>
      </w:pPr>
    </w:p>
    <w:p>
      <w:pPr>
        <w:pBdr>
          <w:bottom w:val="single" w:color="000000" w:sz="6"/>
        </w:pBdr>
        <w:spacing w:after="240" w:before="240"/>
      </w:pPr>
    </w:p>
    <w:p>
      <w:pPr>
        <w:pStyle w:val="Heading1"/>
        <w:spacing w:after="100" w:before="480" w:line="312" w:lineRule="auto"/>
      </w:pPr>
      <w:r>
        <w:rPr>
          <w:rFonts w:ascii="Calibri" w:cs="Calibri" w:eastAsia="Calibri" w:hAnsi="Calibri"/>
          <w:color w:val="1A1A1A"/>
          <w:sz w:val="44"/>
          <w:szCs w:val="44"/>
        </w:rPr>
        <w:t xml:space="preserve">Section 6 — Governance Versioning and Provenance Policy</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is new — it does not resolve an existing finding. It prevents the class of issues found in this analysis from recurring. Seven of the sixteen findings resulted from one of three root causes: (a) architectural claims made without operational status qualifiers; (b) epistemic hedges present in source documents dropped in downstream documents; (c) authorship provenance not tracked consistently across the corpus. The policies below close the systemic gap that produced this analysis.</w:t>
      </w:r>
    </w:p>
    <w:p>
      <w:pPr>
        <w:pStyle w:val="Heading2"/>
        <w:spacing w:after="100" w:before="320" w:line="312" w:lineRule="auto"/>
      </w:pPr>
      <w:r>
        <w:rPr>
          <w:rFonts w:ascii="Calibri" w:cs="Calibri" w:eastAsia="Calibri" w:hAnsi="Calibri"/>
          <w:color w:val="1A1A1A"/>
          <w:sz w:val="26"/>
          <w:szCs w:val="26"/>
        </w:rPr>
        <w:t xml:space="preserve">6.1  The Problem This Policy Addresses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Seven of the sixteen findings in this analysis resulted from one of three root causes: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Architectural claims made without operational status qualifiers.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Epistemic hedges present in source documents being dropped in downstream documents.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Authorship provenance not tracked consistently across the corpus.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policy that prevents these three failure modes closes the systemic gap that produced this analysis.</w:t>
      </w:r>
    </w:p>
    <w:p>
      <w:pPr>
        <w:pStyle w:val="Heading2"/>
        <w:spacing w:after="100" w:before="320" w:line="312" w:lineRule="auto"/>
      </w:pPr>
      <w:r>
        <w:rPr>
          <w:rFonts w:ascii="Calibri" w:cs="Calibri" w:eastAsia="Calibri" w:hAnsi="Calibri"/>
          <w:color w:val="1A1A1A"/>
          <w:sz w:val="26"/>
          <w:szCs w:val="26"/>
        </w:rPr>
        <w:t xml:space="preserve">6.2  Governance Versioning Policy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document in the corpus carries a </w:t>
      </w:r>
      <w:r>
        <w:rPr>
          <w:rFonts w:ascii="Calibri" w:cs="Calibri" w:eastAsia="Calibri" w:hAnsi="Calibri"/>
          <w:b/>
          <w:bCs/>
          <w:i w:val="false"/>
          <w:iCs w:val="false"/>
          <w:strike w:val="false"/>
          <w:color w:val="000000"/>
          <w:sz w:val="22"/>
          <w:szCs w:val="22"/>
        </w:rPr>
        <w:t xml:space="preserve">document version number</w:t>
      </w:r>
      <w:r>
        <w:rPr>
          <w:rFonts w:ascii="Calibri" w:cs="Calibri" w:eastAsia="Calibri" w:hAnsi="Calibri"/>
          <w:b w:val="false"/>
          <w:bCs w:val="false"/>
          <w:i w:val="false"/>
          <w:iCs w:val="false"/>
          <w:strike w:val="false"/>
          <w:color w:val="000000"/>
          <w:sz w:val="22"/>
          <w:szCs w:val="22"/>
        </w:rPr>
        <w:t xml:space="preserve"> and a </w:t>
      </w:r>
      <w:r>
        <w:rPr>
          <w:rFonts w:ascii="Calibri" w:cs="Calibri" w:eastAsia="Calibri" w:hAnsi="Calibri"/>
          <w:b/>
          <w:bCs/>
          <w:i w:val="false"/>
          <w:iCs w:val="false"/>
          <w:strike w:val="false"/>
          <w:color w:val="000000"/>
          <w:sz w:val="22"/>
          <w:szCs w:val="22"/>
        </w:rPr>
        <w:t xml:space="preserve">governance model version number</w:t>
      </w:r>
      <w:r>
        <w:rPr>
          <w:rFonts w:ascii="Calibri" w:cs="Calibri" w:eastAsia="Calibri" w:hAnsi="Calibri"/>
          <w:b w:val="false"/>
          <w:bCs w:val="false"/>
          <w:i w:val="false"/>
          <w:iCs w:val="false"/>
          <w:strike w:val="false"/>
          <w:color w:val="000000"/>
          <w:sz w:val="22"/>
          <w:szCs w:val="22"/>
        </w:rPr>
        <w:t xml:space="preserve">. These are separate: a document can be revised without a governance model version bump, but any change to a governance invariant constitutes a governance model version change.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Governance model version changes require: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w:t>
      </w:r>
      <w:r>
        <w:rPr>
          <w:rFonts w:ascii="Calibri" w:cs="Calibri" w:eastAsia="Calibri" w:hAnsi="Calibri"/>
          <w:b w:val="false"/>
          <w:bCs w:val="false"/>
          <w:i w:val="false"/>
          <w:iCs w:val="false"/>
          <w:strike w:val="false"/>
          <w:color w:val="000000"/>
          <w:sz w:val="22"/>
          <w:szCs w:val="22"/>
        </w:rPr>
        <w:t xml:space="preserve"> A written change record specifying what invariant changed, what the previous value was, and what the new value 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w:t>
      </w:r>
      <w:r>
        <w:rPr>
          <w:rFonts w:ascii="Calibri" w:cs="Calibri" w:eastAsia="Calibri" w:hAnsi="Calibri"/>
          <w:b w:val="false"/>
          <w:bCs w:val="false"/>
          <w:i w:val="false"/>
          <w:iCs w:val="false"/>
          <w:strike w:val="false"/>
          <w:color w:val="000000"/>
          <w:sz w:val="22"/>
          <w:szCs w:val="22"/>
        </w:rPr>
        <w:t xml:space="preserve"> Authorization by Jarvis's structural validation chain or, during offline periods, by the document owner (Jon Halstead) with a manual attestation.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w:t>
      </w:r>
      <w:r>
        <w:rPr>
          <w:rFonts w:ascii="Calibri" w:cs="Calibri" w:eastAsia="Calibri" w:hAnsi="Calibri"/>
          <w:b w:val="false"/>
          <w:bCs w:val="false"/>
          <w:i w:val="false"/>
          <w:iCs w:val="false"/>
          <w:strike w:val="false"/>
          <w:color w:val="000000"/>
          <w:sz w:val="22"/>
          <w:szCs w:val="22"/>
        </w:rPr>
        <w:t xml:space="preserve"> A migration note specifying how systems running under the previous version are affected.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current governance model version, to be established when this policy is adopted, is: </w:t>
      </w:r>
      <w:r>
        <w:rPr>
          <w:rFonts w:ascii="Calibri" w:cs="Calibri" w:eastAsia="Calibri" w:hAnsi="Calibri"/>
          <w:b/>
          <w:bCs/>
          <w:i w:val="false"/>
          <w:iCs w:val="false"/>
          <w:strike w:val="false"/>
          <w:color w:val="000000"/>
          <w:sz w:val="22"/>
          <w:szCs w:val="22"/>
        </w:rPr>
        <w:t xml:space="preserve">GMv1.0 (June 2026).</w:t>
      </w:r>
    </w:p>
    <w:p>
      <w:pPr>
        <w:pStyle w:val="Heading2"/>
        <w:spacing w:after="100" w:before="320" w:line="312" w:lineRule="auto"/>
      </w:pPr>
      <w:r>
        <w:rPr>
          <w:rFonts w:ascii="Calibri" w:cs="Calibri" w:eastAsia="Calibri" w:hAnsi="Calibri"/>
          <w:color w:val="1A1A1A"/>
          <w:sz w:val="26"/>
          <w:szCs w:val="26"/>
        </w:rPr>
        <w:t xml:space="preserve">6.3  Epistemic Marker Policy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claims in the governance corpus are classified by epistemic status. The following classification table is authoritative: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Marker</w:t>
            </w:r>
          </w:p>
        </w:tc>
        <w:tc>
          <w:tcPr>
            <w:tcW w:type="pct" w:w="7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Definition</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ESTABLISHED</w:t>
            </w:r>
          </w:p>
        </w:tc>
        <w:tc>
          <w:tcPr>
            <w:tcW w:type="pct" w:w="7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Derived from first principles with at least one rigorously verified domain application.</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CONDITIONALLY STABLE</w:t>
            </w:r>
          </w:p>
        </w:tc>
        <w:tc>
          <w:tcPr>
            <w:tcW w:type="pct" w:w="7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Logical structure is sound; full generalization across all claimed domains is an open hypothesis.</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OPEN HYPOTHESIS</w:t>
            </w:r>
          </w:p>
        </w:tc>
        <w:tc>
          <w:tcPr>
            <w:tcW w:type="pct" w:w="7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Proposed, architecturally motivated, not yet rigorously derived.</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OPERATIONAL</w:t>
            </w:r>
          </w:p>
        </w:tc>
        <w:tc>
          <w:tcPr>
            <w:tcW w:type="pct" w:w="7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Currently executing in the live system.</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ARCHITECTURAL</w:t>
            </w:r>
          </w:p>
        </w:tc>
        <w:tc>
          <w:tcPr>
            <w:tcW w:type="pct" w:w="7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Encoded in the design; operational status tracked separately in the system status register.</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Current status of key claims: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Law of Duality Framework: </w:t>
      </w:r>
      <w:r>
        <w:rPr>
          <w:rFonts w:ascii="Calibri" w:cs="Calibri" w:eastAsia="Calibri" w:hAnsi="Calibri"/>
          <w:b/>
          <w:bCs/>
          <w:i w:val="false"/>
          <w:iCs w:val="false"/>
          <w:strike w:val="false"/>
          <w:color w:val="000000"/>
          <w:sz w:val="22"/>
          <w:szCs w:val="22"/>
        </w:rPr>
        <w:t xml:space="preserve">CONDITIONALLY STABLE</w:t>
      </w:r>
      <w:r>
        <w:rPr>
          <w:rFonts w:ascii="Calibri" w:cs="Calibri" w:eastAsia="Calibri" w:hAnsi="Calibri"/>
          <w:b w:val="false"/>
          <w:bCs w:val="false"/>
          <w:i w:val="false"/>
          <w:iCs w:val="false"/>
          <w:strike w:val="false"/>
          <w:color w:val="000000"/>
          <w:sz w:val="22"/>
          <w:szCs w:val="22"/>
        </w:rPr>
        <w:t xml:space="preserve"> (waveguide domain: ESTABLISHED; all other domains: OPEN HYPOTHESIS).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Structural governance encoding: </w:t>
      </w:r>
      <w:r>
        <w:rPr>
          <w:rFonts w:ascii="Calibri" w:cs="Calibri" w:eastAsia="Calibri" w:hAnsi="Calibri"/>
          <w:b/>
          <w:bCs/>
          <w:i w:val="false"/>
          <w:iCs w:val="false"/>
          <w:strike w:val="false"/>
          <w:color w:val="000000"/>
          <w:sz w:val="22"/>
          <w:szCs w:val="22"/>
        </w:rPr>
        <w:t xml:space="preserve">ARCHITECTURAL</w:t>
      </w:r>
      <w:r>
        <w:rPr>
          <w:rFonts w:ascii="Calibri" w:cs="Calibri" w:eastAsia="Calibri" w:hAnsi="Calibri"/>
          <w:b w:val="false"/>
          <w:bCs w:val="false"/>
          <w:i w:val="false"/>
          <w:iCs w:val="false"/>
          <w:strike w:val="false"/>
          <w:color w:val="000000"/>
          <w:sz w:val="22"/>
          <w:szCs w:val="22"/>
        </w:rPr>
        <w:t xml:space="preserve"> (current operational status: VOSS offline as of [date to be confirmed]; estimated restoration: pending parts).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A" w:color="auto" w:val="clear"/>
            <w:tcMar>
              <w:top w:type="dxa" w:w="210"/>
              <w:left w:type="dxa" w:w="240"/>
              <w:bottom w:type="dxa" w:w="210"/>
              <w:right w:type="dxa" w:w="240"/>
            </w:tcMar>
          </w:tcPr>
          <w:p>
            <w:pPr>
              <w:spacing w:after="120" w:line="408" w:lineRule="auto"/>
            </w:pPr>
            <w:r>
              <w:rPr>
                <w:b/>
                <w:bCs/>
                <w:i w:val="false"/>
                <w:iCs w:val="false"/>
                <w:color w:val="2B5797"/>
              </w:rPr>
              <w:t xml:space="preserve">■  Policy Rule</w:t>
            </w:r>
          </w:p>
          <w:p>
            <w:pPr>
              <w:spacing w:after="0" w:line="360" w:lineRule="auto"/>
            </w:pPr>
            <w:r>
              <w:rPr>
                <w:rFonts w:ascii="Calibri" w:cs="Calibri" w:eastAsia="Calibri" w:hAnsi="Calibri"/>
                <w:b w:val="false"/>
                <w:bCs w:val="false"/>
                <w:i w:val="false"/>
                <w:iCs w:val="false"/>
                <w:strike w:val="false"/>
                <w:color w:val="1A1A1A"/>
                <w:sz w:val="21"/>
                <w:szCs w:val="21"/>
              </w:rPr>
              <w:t xml:space="preserve">These markers must be propagated to every document that references the claim. A downstream document may not drop an epistemic marker present in the source document. Omission of a marker is treated as a governance variance requiring resolution.</w:t>
            </w:r>
          </w:p>
        </w:tc>
      </w:tr>
    </w:tbl>
    <w:p>
      <w:pPr>
        <w:spacing w:after="240" w:before="0"/>
      </w:pPr>
    </w:p>
    <w:p>
      <w:pPr>
        <w:pStyle w:val="Heading2"/>
        <w:spacing w:after="100" w:before="320" w:line="312" w:lineRule="auto"/>
      </w:pPr>
      <w:r>
        <w:rPr>
          <w:rFonts w:ascii="Calibri" w:cs="Calibri" w:eastAsia="Calibri" w:hAnsi="Calibri"/>
          <w:color w:val="1A1A1A"/>
          <w:sz w:val="26"/>
          <w:szCs w:val="26"/>
        </w:rPr>
        <w:t xml:space="preserve">6.4  Authorship Provenance Policy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IP asset in the catalog carries an authorship classification. The following classification table is authoritative: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Classification</w:t>
            </w:r>
          </w:p>
        </w:tc>
        <w:tc>
          <w:tcPr>
            <w:tcW w:type="pct" w:w="8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Definition</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HUMAN-AUTHORED</w:t>
            </w:r>
          </w:p>
        </w:tc>
        <w:tc>
          <w:tcPr>
            <w:tcW w:type="pct" w:w="8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Conceived, written, and implemented solely by Jon Halstead with no AI elaboration of substantive content.</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HYBRID</w:t>
            </w:r>
          </w:p>
        </w:tc>
        <w:tc>
          <w:tcPr>
            <w:tcW w:type="pct" w:w="8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Architecture and core concepts by Jon Halstead; elaboration, formalization, or implementation assisted by AI. Specific AI contributions documented in the asset record.</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AI-GENERATED</w:t>
            </w:r>
          </w:p>
        </w:tc>
        <w:tc>
          <w:tcPr>
            <w:tcW w:type="pct" w:w="8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Produced by AI under Jon Halstead's direction. Rights position pending IP counsel review.</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authorship classification is a </w:t>
      </w:r>
      <w:r>
        <w:rPr>
          <w:rFonts w:ascii="Calibri" w:cs="Calibri" w:eastAsia="Calibri" w:hAnsi="Calibri"/>
          <w:b/>
          <w:bCs/>
          <w:i w:val="false"/>
          <w:iCs w:val="false"/>
          <w:strike w:val="false"/>
          <w:color w:val="000000"/>
          <w:sz w:val="22"/>
          <w:szCs w:val="22"/>
        </w:rPr>
        <w:t xml:space="preserve">required field</w:t>
      </w:r>
      <w:r>
        <w:rPr>
          <w:rFonts w:ascii="Calibri" w:cs="Calibri" w:eastAsia="Calibri" w:hAnsi="Calibri"/>
          <w:b w:val="false"/>
          <w:bCs w:val="false"/>
          <w:i w:val="false"/>
          <w:iCs w:val="false"/>
          <w:strike w:val="false"/>
          <w:color w:val="000000"/>
          <w:sz w:val="22"/>
          <w:szCs w:val="22"/>
        </w:rPr>
        <w:t xml:space="preserve"> in the IP Catalog. No asset may be listed without a classification. No external IP disclosure, licensing discussion, or fundraising document may treat a HYBRID or AI-GENERATED asset as equivalent to a HUMAN-AUTHORED asset without written IP counsel sign-off.</w:t>
      </w:r>
    </w:p>
    <w:p>
      <w:pPr>
        <w:pStyle w:val="Heading2"/>
        <w:spacing w:after="100" w:before="320" w:line="312" w:lineRule="auto"/>
      </w:pPr>
      <w:r>
        <w:rPr>
          <w:rFonts w:ascii="Calibri" w:cs="Calibri" w:eastAsia="Calibri" w:hAnsi="Calibri"/>
          <w:color w:val="1A1A1A"/>
          <w:sz w:val="26"/>
          <w:szCs w:val="26"/>
        </w:rPr>
        <w:t xml:space="preserve">6.5  System Status Register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system status register is maintained separately from the architecture documents. It records: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Current operational status of each named subsystem (VOSS, ARIS, Nova, Story Forge, Wolf CoG OS, Jarvis).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Last status change date.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Known issues and estimated resolution date.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Architecture documents </w:t>
      </w:r>
      <w:r>
        <w:rPr>
          <w:rFonts w:ascii="Calibri" w:cs="Calibri" w:eastAsia="Calibri" w:hAnsi="Calibri"/>
          <w:b/>
          <w:bCs/>
          <w:i w:val="false"/>
          <w:iCs w:val="false"/>
          <w:strike w:val="false"/>
          <w:color w:val="000000"/>
          <w:sz w:val="22"/>
          <w:szCs w:val="22"/>
        </w:rPr>
        <w:t xml:space="preserve">reference</w:t>
      </w:r>
      <w:r>
        <w:rPr>
          <w:rFonts w:ascii="Calibri" w:cs="Calibri" w:eastAsia="Calibri" w:hAnsi="Calibri"/>
          <w:b w:val="false"/>
          <w:bCs w:val="false"/>
          <w:i w:val="false"/>
          <w:iCs w:val="false"/>
          <w:strike w:val="false"/>
          <w:color w:val="000000"/>
          <w:sz w:val="22"/>
          <w:szCs w:val="22"/>
        </w:rPr>
        <w:t xml:space="preserve"> the system status register — they do not replicate it. This prevents architectural claims from being contradicted by hardware status notes in the same document. The status register is a live operational artifact; the architecture documents are durable design records. These must not be conflated.</w:t>
      </w:r>
    </w:p>
    <w:p>
      <w:pPr>
        <w:pBdr>
          <w:bottom w:val="single" w:color="000000" w:sz="6"/>
        </w:pBdr>
        <w:spacing w:after="240" w:before="240"/>
      </w:pPr>
    </w:p>
    <w:p>
      <w:pPr>
        <w:pStyle w:val="Heading1"/>
        <w:spacing w:after="100" w:before="480" w:line="312" w:lineRule="auto"/>
      </w:pPr>
      <w:r>
        <w:rPr>
          <w:rFonts w:ascii="Calibri" w:cs="Calibri" w:eastAsia="Calibri" w:hAnsi="Calibri"/>
          <w:color w:val="1A1A1A"/>
          <w:sz w:val="44"/>
          <w:szCs w:val="44"/>
        </w:rPr>
        <w:t xml:space="preserve">Appendix — Findings Reference Table</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Compact cross-reference of all 16 findings. Use this table to locate a finding's full resolution note within this document.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ID</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Type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Severity</w:t>
            </w:r>
          </w:p>
        </w:tc>
        <w:tc>
          <w:tcPr>
            <w:tcW w:type="pct" w:w="5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One-Line Description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8"/>
                <w:szCs w:val="18"/>
              </w:rPr>
              <w:t xml:space="preserve">Section</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C1</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Contradiction</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Critical</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Architectural claim vs. VOSS operational status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C2</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Contradiction</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Critical</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OTEM v6 commercial timeline vs. UL completion dependency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C3</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Contradiction</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7A4000"/>
                <w:sz w:val="22"/>
                <w:szCs w:val="22"/>
              </w:rPr>
              <w:t xml:space="preserve">High</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Law of Duality hedge dropped in downstream documents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C4</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Contradiction</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7A4000"/>
                <w:sz w:val="22"/>
                <w:szCs w:val="22"/>
              </w:rPr>
              <w:t xml:space="preserve">High</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HYBRID authorship vs. IP Catalog sole ownership</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C5</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Contradiction</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555555"/>
                <w:sz w:val="22"/>
                <w:szCs w:val="22"/>
              </w:rPr>
              <w:t xml:space="preserve">Medium</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Fail-closed principle vs. undocumented VOSS failure response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C6</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Contradiction</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555555"/>
                <w:sz w:val="22"/>
                <w:szCs w:val="22"/>
              </w:rPr>
              <w:t xml:space="preserve">Medium</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Nova Cortex (paper) vs. Nova (product) — no disambiguation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C7</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Contradiction</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555555"/>
                <w:sz w:val="22"/>
                <w:szCs w:val="22"/>
              </w:rPr>
              <w:t xml:space="preserve">Medium</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Story Forge reference impl vs. HYBRID primitive foundations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G1</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Gap</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Critical</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Chaos Pattern Engineer: published, absent from all corpus docs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G2</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Gap</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7A4000"/>
                <w:sz w:val="22"/>
                <w:szCs w:val="22"/>
              </w:rPr>
              <w:t xml:space="preserve">High</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Wolf CoG OS: IP Asset #1, no governance model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G3</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Gap</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7A4000"/>
                <w:sz w:val="22"/>
                <w:szCs w:val="22"/>
              </w:rPr>
              <w:t xml:space="preserve">High</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LGS and HRC: registered IP, no runtime integration specified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G4</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Gap</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7A4000"/>
                <w:sz w:val="22"/>
                <w:szCs w:val="22"/>
              </w:rPr>
              <w:t xml:space="preserve">High</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Nova product governance specification: entirely absent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G5</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Gap</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7A4000"/>
                <w:sz w:val="22"/>
                <w:szCs w:val="22"/>
              </w:rPr>
              <w:t xml:space="preserve">High</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UL Lane completion: no timeline, blocks entire commercial roadmap</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G6</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Gap</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555555"/>
                <w:sz w:val="22"/>
                <w:szCs w:val="22"/>
              </w:rPr>
              <w:t xml:space="preserve">Medium</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Error log (OneDrive, May 2026): unacknowledged in audit chain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G7</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Gap</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555555"/>
                <w:sz w:val="22"/>
                <w:szCs w:val="22"/>
              </w:rPr>
              <w:t xml:space="preserve">Medium</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HYBRID IP valuation: no methodology</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G8</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Gap</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555555"/>
                <w:sz w:val="22"/>
                <w:szCs w:val="22"/>
              </w:rPr>
              <w:t xml:space="preserve">Medium</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Governance invariant versioning: no scheme exists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G9</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Gap</w:t>
            </w:r>
          </w:p>
        </w:tc>
        <w:tc>
          <w:tcPr>
            <w:tcW w:type="pct" w:w="13%"/>
            <w:tcMar>
              <w:top w:type="dxa" w:w="75"/>
              <w:left w:type="dxa" w:w="105"/>
              <w:bottom w:type="dxa" w:w="75"/>
              <w:right w:type="dxa" w:w="105"/>
            </w:tcMar>
          </w:tcPr>
          <w:p>
            <w:r>
              <w:rPr>
                <w:rFonts w:ascii="Calibri" w:cs="Calibri" w:eastAsia="Calibri" w:hAnsi="Calibri"/>
                <w:b/>
                <w:bCs/>
                <w:i w:val="false"/>
                <w:iCs w:val="false"/>
                <w:strike w:val="false"/>
                <w:color w:val="555555"/>
                <w:sz w:val="22"/>
                <w:szCs w:val="22"/>
              </w:rPr>
              <w:t xml:space="preserve">Medium</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ARIS behavior during hardware layer failure: not specified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r>
    </w:tbl>
    <w:p>
      <w:pPr>
        <w:spacing w:after="200" w:before="0"/>
      </w:pPr>
    </w:p>
    <w:p>
      <w:pPr>
        <w:pBdr>
          <w:bottom w:val="single" w:color="AAAAAA"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z w:val="16"/>
          <w:szCs w:val="16"/>
        </w:rPr>
        <w:t xml:space="preserve">Project Infinity — Governance Resolution Document  |  Internal Working Document  |  Jon Halstead  |  June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UuNVX76FksFm18kD6mesu</dc:title>
  <dc:creator>Un-named</dc:creator>
  <dc:description>Generated document</dc:description>
  <cp:lastModifiedBy>Un-named</cp:lastModifiedBy>
  <cp:revision>1</cp:revision>
  <dcterms:created xsi:type="dcterms:W3CDTF">2026-06-12T18:01:24.541Z</dcterms:created>
  <dcterms:modified xsi:type="dcterms:W3CDTF">2026-06-12T18:01:24.541Z</dcterms:modified>
</cp:coreProperties>
</file>

<file path=docProps/custom.xml><?xml version="1.0" encoding="utf-8"?>
<Properties xmlns="http://schemas.openxmlformats.org/officeDocument/2006/custom-properties" xmlns:vt="http://schemas.openxmlformats.org/officeDocument/2006/docPropsVTypes"/>
</file>