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NexaTech Remote Working Policy</w:t>
      </w:r>
    </w:p>
    <w:p>
      <w:pPr>
        <w:pStyle w:val="Heading1"/>
      </w:pPr>
      <w:r>
        <w:t>Remote Working Allowance</w:t>
      </w:r>
    </w:p>
    <w:p>
      <w:r>
        <w:t>Eligible employees may work remotely for up to 3 days per week. Remote working arrangements require approval from the employee's line manager.</w:t>
      </w:r>
    </w:p>
    <w:p>
      <w:pPr>
        <w:pStyle w:val="Heading1"/>
      </w:pPr>
      <w:r>
        <w:t>Eligibility</w:t>
      </w:r>
    </w:p>
    <w:p>
      <w:r>
        <w:t>Employees become eligible for regular remote working after successfully completing their probation period.</w:t>
      </w:r>
    </w:p>
    <w:p>
      <w:pPr>
        <w:pStyle w:val="Heading1"/>
      </w:pPr>
      <w:r>
        <w:t>Company Equipment</w:t>
      </w:r>
    </w:p>
    <w:p>
      <w:r>
        <w:t>NexaTech provides a company laptop, keyboard, mouse, and headset to permanent employees. Employees may request one external monitor for home working.</w:t>
      </w:r>
    </w:p>
    <w:p>
      <w:pPr>
        <w:pStyle w:val="Heading1"/>
      </w:pPr>
      <w:r>
        <w:t>Information Security</w:t>
      </w:r>
    </w:p>
    <w:p>
      <w:r>
        <w:t>Employees must use the company VPN when accessing internal systems from outside a NexaTech office. Confidential company information must not be stored on personal devices.</w:t>
      </w:r>
    </w:p>
    <w:p>
      <w:pPr>
        <w:pStyle w:val="Heading1"/>
      </w:pPr>
      <w:r>
        <w:t>Working Abroad</w:t>
      </w:r>
    </w:p>
    <w:p>
      <w:r>
        <w:t>Working remotely from another country requires written approval from both Human Resources and the employee's department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