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pPr>
      <w:r>
        <w:rPr>
          <w:rFonts w:ascii="Calibri" w:hAnsi="Calibri"/>
          <w:b/>
          <w:color w:val="1F4D78"/>
          <w:sz w:val="50"/>
        </w:rPr>
        <w:t>IRT_sys_agent Scoring System</w:t>
      </w:r>
    </w:p>
    <w:p>
      <w:pPr>
        <w:spacing w:after="240"/>
      </w:pPr>
      <w:r>
        <w:rPr>
          <w:rFonts w:ascii="Calibri" w:hAnsi="Calibri"/>
          <w:i/>
          <w:color w:val="667085"/>
          <w:sz w:val="26"/>
        </w:rPr>
        <w:t>Version 2.0 - Normative Skill and Scoring Contract</w:t>
      </w:r>
    </w:p>
    <w:tbl>
      <w:tblPr>
        <w:tblStyle w:val="TableGrid"/>
        <w:tblW w:type="dxa" w:w="9360"/>
        <w:jc w:val="center"/>
        <w:tblLayout w:type="fixed"/>
        <w:tblLook w:firstColumn="1" w:firstRow="1" w:lastColumn="0" w:lastRow="0" w:noHBand="0" w:noVBand="1" w:val="04A0"/>
        <w:tblInd w:w="120" w:type="dxa"/>
      </w:tblPr>
      <w:tblGrid>
        <w:gridCol w:w="2400"/>
        <w:gridCol w:w="6960"/>
      </w:tblGrid>
      <w:tr>
        <w:tc>
          <w:tcPr>
            <w:tcW w:type="dxa" w:w="2400"/>
            <w:shd w:fill="E8EEF5"/>
            <w:vAlign w:val="center"/>
            <w:tcMar>
              <w:top w:w="80" w:type="dxa"/>
              <w:start w:w="120" w:type="dxa"/>
              <w:bottom w:w="80" w:type="dxa"/>
              <w:end w:w="120" w:type="dxa"/>
            </w:tcMar>
          </w:tcPr>
          <w:p>
            <w:r>
              <w:rPr>
                <w:b/>
              </w:rPr>
              <w:t>Status</w:t>
            </w:r>
          </w:p>
        </w:tc>
        <w:tc>
          <w:tcPr>
            <w:tcW w:type="dxa" w:w="6960"/>
            <w:vAlign w:val="center"/>
            <w:tcMar>
              <w:top w:w="80" w:type="dxa"/>
              <w:start w:w="120" w:type="dxa"/>
              <w:bottom w:w="80" w:type="dxa"/>
              <w:end w:w="120" w:type="dxa"/>
            </w:tcMar>
          </w:tcPr>
          <w:p>
            <w:r>
              <w:t>Phase 1 rule freeze</w:t>
            </w:r>
          </w:p>
        </w:tc>
      </w:tr>
      <w:tr>
        <w:tc>
          <w:tcPr>
            <w:tcW w:type="dxa" w:w="2400"/>
            <w:shd w:fill="E8EEF5"/>
            <w:vAlign w:val="center"/>
            <w:tcMar>
              <w:top w:w="80" w:type="dxa"/>
              <w:start w:w="120" w:type="dxa"/>
              <w:bottom w:w="80" w:type="dxa"/>
              <w:end w:w="120" w:type="dxa"/>
            </w:tcMar>
          </w:tcPr>
          <w:p>
            <w:r>
              <w:rPr>
                <w:b/>
              </w:rPr>
              <w:t>System</w:t>
            </w:r>
          </w:p>
        </w:tc>
        <w:tc>
          <w:tcPr>
            <w:tcW w:type="dxa" w:w="6960"/>
            <w:vAlign w:val="center"/>
            <w:tcMar>
              <w:top w:w="80" w:type="dxa"/>
              <w:start w:w="120" w:type="dxa"/>
              <w:bottom w:w="80" w:type="dxa"/>
              <w:end w:w="120" w:type="dxa"/>
            </w:tcMar>
          </w:tcPr>
          <w:p>
            <w:r>
              <w:t>Do Not Miss ability growth and evidence assessment</w:t>
            </w:r>
          </w:p>
        </w:tc>
      </w:tr>
      <w:tr>
        <w:tc>
          <w:tcPr>
            <w:tcW w:type="dxa" w:w="2400"/>
            <w:shd w:fill="E8EEF5"/>
            <w:vAlign w:val="center"/>
            <w:tcMar>
              <w:top w:w="80" w:type="dxa"/>
              <w:start w:w="120" w:type="dxa"/>
              <w:bottom w:w="80" w:type="dxa"/>
              <w:end w:w="120" w:type="dxa"/>
            </w:tcMar>
          </w:tcPr>
          <w:p>
            <w:r>
              <w:rPr>
                <w:b/>
              </w:rPr>
              <w:t>Key decision</w:t>
            </w:r>
          </w:p>
        </w:tc>
        <w:tc>
          <w:tcPr>
            <w:tcW w:type="dxa" w:w="6960"/>
            <w:vAlign w:val="center"/>
            <w:tcMar>
              <w:top w:w="80" w:type="dxa"/>
              <w:start w:w="120" w:type="dxa"/>
              <w:bottom w:w="80" w:type="dxa"/>
              <w:end w:w="120" w:type="dxa"/>
            </w:tcMar>
          </w:tcPr>
          <w:p>
            <w:r>
              <w:t>LLM extracts evidence; deterministic Java code calculates scores</w:t>
            </w:r>
          </w:p>
        </w:tc>
      </w:tr>
      <w:tr>
        <w:tc>
          <w:tcPr>
            <w:tcW w:type="dxa" w:w="2400"/>
            <w:shd w:fill="E8EEF5"/>
            <w:vAlign w:val="center"/>
            <w:tcMar>
              <w:top w:w="80" w:type="dxa"/>
              <w:start w:w="120" w:type="dxa"/>
              <w:bottom w:w="80" w:type="dxa"/>
              <w:end w:w="120" w:type="dxa"/>
            </w:tcMar>
          </w:tcPr>
          <w:p>
            <w:r>
              <w:rPr>
                <w:b/>
              </w:rPr>
              <w:t>Compatibility</w:t>
            </w:r>
          </w:p>
        </w:tc>
        <w:tc>
          <w:tcPr>
            <w:tcW w:type="dxa" w:w="6960"/>
            <w:vAlign w:val="center"/>
            <w:tcMar>
              <w:top w:w="80" w:type="dxa"/>
              <w:start w:w="120" w:type="dxa"/>
              <w:bottom w:w="80" w:type="dxa"/>
              <w:end w:w="120" w:type="dxa"/>
            </w:tcMar>
          </w:tcPr>
          <w:p>
            <w:r>
              <w:t>Replaces the v1 behavior where the LLM directly returned score_delta</w:t>
            </w:r>
          </w:p>
        </w:tc>
      </w:tr>
    </w:tbl>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4EC"/>
          </w:tcPr>
          <w:p>
            <w:pPr>
              <w:spacing w:after="60"/>
            </w:pPr>
            <w:r>
              <w:rPr>
                <w:rFonts w:ascii="Calibri" w:hAnsi="Calibri"/>
                <w:b/>
                <w:color w:val="1F4D78"/>
                <w:sz w:val="22"/>
              </w:rPr>
              <w:t>Normative interpretation</w:t>
            </w:r>
          </w:p>
          <w:p>
            <w:pPr>
              <w:spacing w:after="0"/>
            </w:pPr>
            <w:r>
              <w:t>The keywords MUST, MUST NOT, SHOULD, and MAY define implementation requirements. This document is a scoring contract, not a free-form prompt. Any future Java engine, Judge Agent, database schema, and UI explanation must follow the same definitions.</w:t>
            </w:r>
          </w:p>
        </w:tc>
      </w:tr>
    </w:tbl>
    <w:p>
      <w:pPr>
        <w:pStyle w:val="Heading1"/>
      </w:pPr>
      <w:r>
        <w:t>1. Purpose and Scope</w:t>
      </w:r>
    </w:p>
    <w:p>
      <w:r>
        <w:t>IRT_sys_agent evaluates the evidence contained in one completed activity and produces a structured assessment for one or more ability dimensions. It is inspired by Item Response Theory, but it is not strict academic IRT and must not be presented as a psychometrically validated examination model.</w:t>
      </w:r>
    </w:p>
    <w:p>
      <w:pPr>
        <w:pStyle w:val="ListBullet"/>
      </w:pPr>
      <w:r>
        <w:t>The LLM interprets unstructured activity descriptions, artifacts, user reflections, and contribution claims.</w:t>
      </w:r>
    </w:p>
    <w:p>
      <w:pPr>
        <w:pStyle w:val="ListBullet"/>
      </w:pPr>
      <w:r>
        <w:t>The LLM does not calculate the final score delta, ability score, rank, or profile confidence.</w:t>
      </w:r>
    </w:p>
    <w:p>
      <w:pPr>
        <w:pStyle w:val="ListBullet"/>
      </w:pPr>
      <w:r>
        <w:t>A deterministic Java scoring engine uses versioned rules to calculate all numeric score changes.</w:t>
      </w:r>
    </w:p>
    <w:p>
      <w:pPr>
        <w:pStyle w:val="ListBullet"/>
      </w:pPr>
      <w:r>
        <w:t>A Judge Agent performs threshold assessments and is the only automated component allowed to propose profile confidence changes.</w:t>
      </w:r>
    </w:p>
    <w:p>
      <w:pPr>
        <w:pStyle w:val="ListBullet"/>
      </w:pPr>
      <w:r>
        <w:t>Human review remains available for disputed, high-impact, suspicious, or career-significant outcomes.</w:t>
      </w:r>
    </w:p>
    <w:p>
      <w:pPr>
        <w:pStyle w:val="Heading1"/>
      </w:pPr>
      <w:r>
        <w:t>2. Separation of Responsibilities</w:t>
      </w:r>
    </w:p>
    <w:tbl>
      <w:tblPr>
        <w:tblStyle w:val="TableGrid"/>
        <w:tblW w:type="dxa" w:w="9360"/>
        <w:jc w:val="center"/>
        <w:tblLayout w:type="fixed"/>
        <w:tblLook w:firstColumn="1" w:firstRow="1" w:lastColumn="0" w:lastRow="0" w:noHBand="0" w:noVBand="1" w:val="04A0"/>
        <w:tblInd w:w="120" w:type="dxa"/>
      </w:tblPr>
      <w:tblGrid>
        <w:gridCol w:w="1900"/>
        <w:gridCol w:w="3730"/>
        <w:gridCol w:w="3730"/>
      </w:tblGrid>
      <w:tr>
        <w:trPr>
          <w:tblHeader w:val="true"/>
        </w:trPr>
        <w:tc>
          <w:tcPr>
            <w:tcW w:type="dxa" w:w="1900"/>
            <w:shd w:fill="E8EEF5"/>
            <w:vAlign w:val="center"/>
            <w:tcMar>
              <w:top w:w="80" w:type="dxa"/>
              <w:start w:w="120" w:type="dxa"/>
              <w:bottom w:w="80" w:type="dxa"/>
              <w:end w:w="120" w:type="dxa"/>
            </w:tcMar>
          </w:tcPr>
          <w:p>
            <w:r>
              <w:rPr>
                <w:b/>
                <w:color w:val="1F4D78"/>
              </w:rPr>
              <w:t>Component</w:t>
            </w:r>
          </w:p>
        </w:tc>
        <w:tc>
          <w:tcPr>
            <w:tcW w:type="dxa" w:w="3730"/>
            <w:shd w:fill="E8EEF5"/>
            <w:vAlign w:val="center"/>
            <w:tcMar>
              <w:top w:w="80" w:type="dxa"/>
              <w:start w:w="120" w:type="dxa"/>
              <w:bottom w:w="80" w:type="dxa"/>
              <w:end w:w="120" w:type="dxa"/>
            </w:tcMar>
          </w:tcPr>
          <w:p>
            <w:r>
              <w:rPr>
                <w:b/>
                <w:color w:val="1F4D78"/>
              </w:rPr>
              <w:t>May do</w:t>
            </w:r>
          </w:p>
        </w:tc>
        <w:tc>
          <w:tcPr>
            <w:tcW w:type="dxa" w:w="3730"/>
            <w:shd w:fill="E8EEF5"/>
            <w:vAlign w:val="center"/>
            <w:tcMar>
              <w:top w:w="80" w:type="dxa"/>
              <w:start w:w="120" w:type="dxa"/>
              <w:bottom w:w="80" w:type="dxa"/>
              <w:end w:w="120" w:type="dxa"/>
            </w:tcMar>
          </w:tcPr>
          <w:p>
            <w:r>
              <w:rPr>
                <w:b/>
                <w:color w:val="1F4D78"/>
              </w:rPr>
              <w:t>Must not do</w:t>
            </w:r>
          </w:p>
        </w:tc>
      </w:tr>
      <w:tr>
        <w:tc>
          <w:tcPr>
            <w:tcW w:type="dxa" w:w="1900"/>
            <w:vAlign w:val="center"/>
            <w:tcMar>
              <w:top w:w="80" w:type="dxa"/>
              <w:start w:w="120" w:type="dxa"/>
              <w:bottom w:w="80" w:type="dxa"/>
              <w:end w:w="120" w:type="dxa"/>
            </w:tcMar>
          </w:tcPr>
          <w:p>
            <w:r>
              <w:t>Evidence Assessment LLM</w:t>
            </w:r>
          </w:p>
        </w:tc>
        <w:tc>
          <w:tcPr>
            <w:tcW w:type="dxa" w:w="3730"/>
            <w:vAlign w:val="center"/>
            <w:tcMar>
              <w:top w:w="80" w:type="dxa"/>
              <w:start w:w="120" w:type="dxa"/>
              <w:bottom w:w="80" w:type="dxa"/>
              <w:end w:w="120" w:type="dxa"/>
            </w:tcMar>
          </w:tcPr>
          <w:p>
            <w:r>
              <w:t>Extract difficulty, completion quality, personal contribution, relevant dimensions, evidence facts, ambiguity, and risk flags.</w:t>
            </w:r>
          </w:p>
        </w:tc>
        <w:tc>
          <w:tcPr>
            <w:tcW w:type="dxa" w:w="3730"/>
            <w:vAlign w:val="center"/>
            <w:tcMar>
              <w:top w:w="80" w:type="dxa"/>
              <w:start w:w="120" w:type="dxa"/>
              <w:bottom w:w="80" w:type="dxa"/>
              <w:end w:w="120" w:type="dxa"/>
            </w:tcMar>
          </w:tcPr>
          <w:p>
            <w:r>
              <w:t>Return final score delta; change profile confidence; certify a rank; trust user-supplied credibility numbers.</w:t>
            </w:r>
          </w:p>
        </w:tc>
      </w:tr>
      <w:tr>
        <w:tc>
          <w:tcPr>
            <w:tcW w:type="dxa" w:w="1900"/>
            <w:vAlign w:val="center"/>
            <w:tcMar>
              <w:top w:w="80" w:type="dxa"/>
              <w:start w:w="120" w:type="dxa"/>
              <w:bottom w:w="80" w:type="dxa"/>
              <w:end w:w="120" w:type="dxa"/>
            </w:tcMar>
          </w:tcPr>
          <w:p>
            <w:r>
              <w:t>Deterministic Java Scoring Engine</w:t>
            </w:r>
          </w:p>
        </w:tc>
        <w:tc>
          <w:tcPr>
            <w:tcW w:type="dxa" w:w="3730"/>
            <w:vAlign w:val="center"/>
            <w:tcMar>
              <w:top w:w="80" w:type="dxa"/>
              <w:start w:w="120" w:type="dxa"/>
              <w:bottom w:w="80" w:type="dxa"/>
              <w:end w:w="120" w:type="dxa"/>
            </w:tcMar>
          </w:tcPr>
          <w:p>
            <w:r>
              <w:t>Map structured factors through versioned tables and formulas; clamp values; apply novelty and anti-farming rules; persist audit details.</w:t>
            </w:r>
          </w:p>
        </w:tc>
        <w:tc>
          <w:tcPr>
            <w:tcW w:type="dxa" w:w="3730"/>
            <w:vAlign w:val="center"/>
            <w:tcMar>
              <w:top w:w="80" w:type="dxa"/>
              <w:start w:w="120" w:type="dxa"/>
              <w:bottom w:w="80" w:type="dxa"/>
              <w:end w:w="120" w:type="dxa"/>
            </w:tcMar>
          </w:tcPr>
          <w:p>
            <w:r>
              <w:t>Invent evidence; silently override missing evidence; use organization fame as ability proof.</w:t>
            </w:r>
          </w:p>
        </w:tc>
      </w:tr>
      <w:tr>
        <w:tc>
          <w:tcPr>
            <w:tcW w:type="dxa" w:w="1900"/>
            <w:vAlign w:val="center"/>
            <w:tcMar>
              <w:top w:w="80" w:type="dxa"/>
              <w:start w:w="120" w:type="dxa"/>
              <w:bottom w:w="80" w:type="dxa"/>
              <w:end w:w="120" w:type="dxa"/>
            </w:tcMar>
          </w:tcPr>
          <w:p>
            <w:r>
              <w:t>Judge Agent</w:t>
            </w:r>
          </w:p>
        </w:tc>
        <w:tc>
          <w:tcPr>
            <w:tcW w:type="dxa" w:w="3730"/>
            <w:vAlign w:val="center"/>
            <w:tcMar>
              <w:top w:w="80" w:type="dxa"/>
              <w:start w:w="120" w:type="dxa"/>
              <w:bottom w:w="80" w:type="dxa"/>
              <w:end w:w="120" w:type="dxa"/>
            </w:tcMar>
          </w:tcPr>
          <w:p>
            <w:r>
              <w:t>Generate and grade threshold assessments using a fixed rubric; propose a bounded confidence update; approve or reject rank promotion.</w:t>
            </w:r>
          </w:p>
        </w:tc>
        <w:tc>
          <w:tcPr>
            <w:tcW w:type="dxa" w:w="3730"/>
            <w:vAlign w:val="center"/>
            <w:tcMar>
              <w:top w:w="80" w:type="dxa"/>
              <w:start w:w="120" w:type="dxa"/>
              <w:bottom w:w="80" w:type="dxa"/>
              <w:end w:w="120" w:type="dxa"/>
            </w:tcMar>
          </w:tcPr>
          <w:p>
            <w:r>
              <w:t>Rewrite historical evidence; award activity growth points a second time; make an unbounded confidence change.</w:t>
            </w:r>
          </w:p>
        </w:tc>
      </w:tr>
      <w:tr>
        <w:tc>
          <w:tcPr>
            <w:tcW w:type="dxa" w:w="1900"/>
            <w:vAlign w:val="center"/>
            <w:tcMar>
              <w:top w:w="80" w:type="dxa"/>
              <w:start w:w="120" w:type="dxa"/>
              <w:bottom w:w="80" w:type="dxa"/>
              <w:end w:w="120" w:type="dxa"/>
            </w:tcMar>
          </w:tcPr>
          <w:p>
            <w:r>
              <w:t>Human Reviewer</w:t>
            </w:r>
          </w:p>
        </w:tc>
        <w:tc>
          <w:tcPr>
            <w:tcW w:type="dxa" w:w="3730"/>
            <w:vAlign w:val="center"/>
            <w:tcMar>
              <w:top w:w="80" w:type="dxa"/>
              <w:start w:w="120" w:type="dxa"/>
              <w:bottom w:w="80" w:type="dxa"/>
              <w:end w:w="120" w:type="dxa"/>
            </w:tcMar>
          </w:tcPr>
          <w:p>
            <w:r>
              <w:t>Resolve appeals, verify unusual evidence, correct extraction errors, and approve high-impact credentials.</w:t>
            </w:r>
          </w:p>
        </w:tc>
        <w:tc>
          <w:tcPr>
            <w:tcW w:type="dxa" w:w="3730"/>
            <w:vAlign w:val="center"/>
            <w:tcMar>
              <w:top w:w="80" w:type="dxa"/>
              <w:start w:w="120" w:type="dxa"/>
              <w:bottom w:w="80" w:type="dxa"/>
              <w:end w:w="120" w:type="dxa"/>
            </w:tcMar>
          </w:tcPr>
          <w:p>
            <w:r>
              <w:t>Edit audit history without recording a reason and actor.</w:t>
            </w:r>
          </w:p>
        </w:tc>
      </w:tr>
    </w:tbl>
    <w:p>
      <w:pPr>
        <w:pStyle w:val="Heading1"/>
      </w:pPr>
      <w:r>
        <w:t>3. Canonical Score Model</w:t>
      </w:r>
    </w:p>
    <w:tbl>
      <w:tblPr>
        <w:tblStyle w:val="TableGrid"/>
        <w:tblW w:type="dxa" w:w="9360"/>
        <w:jc w:val="center"/>
        <w:tblLayout w:type="fixed"/>
        <w:tblLook w:firstColumn="1" w:firstRow="1" w:lastColumn="0" w:lastRow="0" w:noHBand="0" w:noVBand="1" w:val="04A0"/>
        <w:tblInd w:w="120" w:type="dxa"/>
      </w:tblPr>
      <w:tblGrid>
        <w:gridCol w:w="1800"/>
        <w:gridCol w:w="1350"/>
        <w:gridCol w:w="3750"/>
        <w:gridCol w:w="2460"/>
      </w:tblGrid>
      <w:tr>
        <w:trPr>
          <w:tblHeader w:val="true"/>
        </w:trPr>
        <w:tc>
          <w:tcPr>
            <w:tcW w:type="dxa" w:w="1800"/>
            <w:shd w:fill="E8EEF5"/>
            <w:vAlign w:val="center"/>
            <w:tcMar>
              <w:top w:w="80" w:type="dxa"/>
              <w:start w:w="120" w:type="dxa"/>
              <w:bottom w:w="80" w:type="dxa"/>
              <w:end w:w="120" w:type="dxa"/>
            </w:tcMar>
          </w:tcPr>
          <w:p>
            <w:r>
              <w:rPr>
                <w:b/>
                <w:color w:val="1F4D78"/>
              </w:rPr>
              <w:t>Field</w:t>
            </w:r>
          </w:p>
        </w:tc>
        <w:tc>
          <w:tcPr>
            <w:tcW w:type="dxa" w:w="1350"/>
            <w:shd w:fill="E8EEF5"/>
            <w:vAlign w:val="center"/>
            <w:tcMar>
              <w:top w:w="80" w:type="dxa"/>
              <w:start w:w="120" w:type="dxa"/>
              <w:bottom w:w="80" w:type="dxa"/>
              <w:end w:w="120" w:type="dxa"/>
            </w:tcMar>
          </w:tcPr>
          <w:p>
            <w:r>
              <w:rPr>
                <w:b/>
                <w:color w:val="1F4D78"/>
              </w:rPr>
              <w:t>Range</w:t>
            </w:r>
          </w:p>
        </w:tc>
        <w:tc>
          <w:tcPr>
            <w:tcW w:type="dxa" w:w="3750"/>
            <w:shd w:fill="E8EEF5"/>
            <w:vAlign w:val="center"/>
            <w:tcMar>
              <w:top w:w="80" w:type="dxa"/>
              <w:start w:w="120" w:type="dxa"/>
              <w:bottom w:w="80" w:type="dxa"/>
              <w:end w:w="120" w:type="dxa"/>
            </w:tcMar>
          </w:tcPr>
          <w:p>
            <w:r>
              <w:rPr>
                <w:b/>
                <w:color w:val="1F4D78"/>
              </w:rPr>
              <w:t>Meaning</w:t>
            </w:r>
          </w:p>
        </w:tc>
        <w:tc>
          <w:tcPr>
            <w:tcW w:type="dxa" w:w="2460"/>
            <w:shd w:fill="E8EEF5"/>
            <w:vAlign w:val="center"/>
            <w:tcMar>
              <w:top w:w="80" w:type="dxa"/>
              <w:start w:w="120" w:type="dxa"/>
              <w:bottom w:w="80" w:type="dxa"/>
              <w:end w:w="120" w:type="dxa"/>
            </w:tcMar>
          </w:tcPr>
          <w:p>
            <w:r>
              <w:rPr>
                <w:b/>
                <w:color w:val="1F4D78"/>
              </w:rPr>
              <w:t>Update owner</w:t>
            </w:r>
          </w:p>
        </w:tc>
      </w:tr>
      <w:tr>
        <w:tc>
          <w:tcPr>
            <w:tcW w:type="dxa" w:w="1800"/>
            <w:vAlign w:val="center"/>
            <w:tcMar>
              <w:top w:w="80" w:type="dxa"/>
              <w:start w:w="120" w:type="dxa"/>
              <w:bottom w:w="80" w:type="dxa"/>
              <w:end w:w="120" w:type="dxa"/>
            </w:tcMar>
          </w:tcPr>
          <w:p>
            <w:r>
              <w:t>experience_score</w:t>
            </w:r>
          </w:p>
        </w:tc>
        <w:tc>
          <w:tcPr>
            <w:tcW w:type="dxa" w:w="1350"/>
            <w:vAlign w:val="center"/>
            <w:tcMar>
              <w:top w:w="80" w:type="dxa"/>
              <w:start w:w="120" w:type="dxa"/>
              <w:bottom w:w="80" w:type="dxa"/>
              <w:end w:w="120" w:type="dxa"/>
            </w:tcMar>
          </w:tcPr>
          <w:p>
            <w:r>
              <w:t>0 to unbounded</w:t>
            </w:r>
          </w:p>
        </w:tc>
        <w:tc>
          <w:tcPr>
            <w:tcW w:type="dxa" w:w="3750"/>
            <w:vAlign w:val="center"/>
            <w:tcMar>
              <w:top w:w="80" w:type="dxa"/>
              <w:start w:w="120" w:type="dxa"/>
              <w:bottom w:w="80" w:type="dxa"/>
              <w:end w:w="120" w:type="dxa"/>
            </w:tcMar>
          </w:tcPr>
          <w:p>
            <w:r>
              <w:t>Cumulative amount of accepted growth evidence in one ability dimension. It measures history, not current mastery.</w:t>
            </w:r>
          </w:p>
        </w:tc>
        <w:tc>
          <w:tcPr>
            <w:tcW w:type="dxa" w:w="2460"/>
            <w:vAlign w:val="center"/>
            <w:tcMar>
              <w:top w:w="80" w:type="dxa"/>
              <w:start w:w="120" w:type="dxa"/>
              <w:bottom w:w="80" w:type="dxa"/>
              <w:end w:w="120" w:type="dxa"/>
            </w:tcMar>
          </w:tcPr>
          <w:p>
            <w:r>
              <w:t>Java scoring engine</w:t>
            </w:r>
          </w:p>
        </w:tc>
      </w:tr>
      <w:tr>
        <w:tc>
          <w:tcPr>
            <w:tcW w:type="dxa" w:w="1800"/>
            <w:vAlign w:val="center"/>
            <w:tcMar>
              <w:top w:w="80" w:type="dxa"/>
              <w:start w:w="120" w:type="dxa"/>
              <w:bottom w:w="80" w:type="dxa"/>
              <w:end w:w="120" w:type="dxa"/>
            </w:tcMar>
          </w:tcPr>
          <w:p>
            <w:r>
              <w:t>ability_score</w:t>
            </w:r>
          </w:p>
        </w:tc>
        <w:tc>
          <w:tcPr>
            <w:tcW w:type="dxa" w:w="1350"/>
            <w:vAlign w:val="center"/>
            <w:tcMar>
              <w:top w:w="80" w:type="dxa"/>
              <w:start w:w="120" w:type="dxa"/>
              <w:bottom w:w="80" w:type="dxa"/>
              <w:end w:w="120" w:type="dxa"/>
            </w:tcMar>
          </w:tcPr>
          <w:p>
            <w:r>
              <w:t>0 to 100</w:t>
            </w:r>
          </w:p>
        </w:tc>
        <w:tc>
          <w:tcPr>
            <w:tcW w:type="dxa" w:w="3750"/>
            <w:vAlign w:val="center"/>
            <w:tcMar>
              <w:top w:w="80" w:type="dxa"/>
              <w:start w:w="120" w:type="dxa"/>
              <w:bottom w:w="80" w:type="dxa"/>
              <w:end w:w="120" w:type="dxa"/>
            </w:tcMar>
          </w:tcPr>
          <w:p>
            <w:r>
              <w:t>Bounded estimate of current demonstrated ability. It must use a saturating or calibrated update and must never be a raw sum of activity points.</w:t>
            </w:r>
          </w:p>
        </w:tc>
        <w:tc>
          <w:tcPr>
            <w:tcW w:type="dxa" w:w="2460"/>
            <w:vAlign w:val="center"/>
            <w:tcMar>
              <w:top w:w="80" w:type="dxa"/>
              <w:start w:w="120" w:type="dxa"/>
              <w:bottom w:w="80" w:type="dxa"/>
              <w:end w:w="120" w:type="dxa"/>
            </w:tcMar>
          </w:tcPr>
          <w:p>
            <w:r>
              <w:t>Java scoring engine</w:t>
            </w:r>
          </w:p>
        </w:tc>
      </w:tr>
      <w:tr>
        <w:tc>
          <w:tcPr>
            <w:tcW w:type="dxa" w:w="1800"/>
            <w:vAlign w:val="center"/>
            <w:tcMar>
              <w:top w:w="80" w:type="dxa"/>
              <w:start w:w="120" w:type="dxa"/>
              <w:bottom w:w="80" w:type="dxa"/>
              <w:end w:w="120" w:type="dxa"/>
            </w:tcMar>
          </w:tcPr>
          <w:p>
            <w:r>
              <w:t>profile_confidence</w:t>
            </w:r>
          </w:p>
        </w:tc>
        <w:tc>
          <w:tcPr>
            <w:tcW w:type="dxa" w:w="1350"/>
            <w:vAlign w:val="center"/>
            <w:tcMar>
              <w:top w:w="80" w:type="dxa"/>
              <w:start w:w="120" w:type="dxa"/>
              <w:bottom w:w="80" w:type="dxa"/>
              <w:end w:w="120" w:type="dxa"/>
            </w:tcMar>
          </w:tcPr>
          <w:p>
            <w:r>
              <w:t>0.00 to 1.00</w:t>
            </w:r>
          </w:p>
        </w:tc>
        <w:tc>
          <w:tcPr>
            <w:tcW w:type="dxa" w:w="3750"/>
            <w:vAlign w:val="center"/>
            <w:tcMar>
              <w:top w:w="80" w:type="dxa"/>
              <w:start w:w="120" w:type="dxa"/>
              <w:bottom w:w="80" w:type="dxa"/>
              <w:end w:w="120" w:type="dxa"/>
            </w:tcMar>
          </w:tcPr>
          <w:p>
            <w:r>
              <w:t>Trust in the reliability of the user's claimed profile and submitted evidence. It is not the user's ability.</w:t>
            </w:r>
          </w:p>
        </w:tc>
        <w:tc>
          <w:tcPr>
            <w:tcW w:type="dxa" w:w="2460"/>
            <w:vAlign w:val="center"/>
            <w:tcMar>
              <w:top w:w="80" w:type="dxa"/>
              <w:start w:w="120" w:type="dxa"/>
              <w:bottom w:w="80" w:type="dxa"/>
              <w:end w:w="120" w:type="dxa"/>
            </w:tcMar>
          </w:tcPr>
          <w:p>
            <w:r>
              <w:t>Judge workflow only</w:t>
            </w:r>
          </w:p>
        </w:tc>
      </w:tr>
      <w:tr>
        <w:tc>
          <w:tcPr>
            <w:tcW w:type="dxa" w:w="1800"/>
            <w:vAlign w:val="center"/>
            <w:tcMar>
              <w:top w:w="80" w:type="dxa"/>
              <w:start w:w="120" w:type="dxa"/>
              <w:bottom w:w="80" w:type="dxa"/>
              <w:end w:w="120" w:type="dxa"/>
            </w:tcMar>
          </w:tcPr>
          <w:p>
            <w:r>
              <w:t>ability_uncertainty</w:t>
            </w:r>
          </w:p>
        </w:tc>
        <w:tc>
          <w:tcPr>
            <w:tcW w:type="dxa" w:w="1350"/>
            <w:vAlign w:val="center"/>
            <w:tcMar>
              <w:top w:w="80" w:type="dxa"/>
              <w:start w:w="120" w:type="dxa"/>
              <w:bottom w:w="80" w:type="dxa"/>
              <w:end w:w="120" w:type="dxa"/>
            </w:tcMar>
          </w:tcPr>
          <w:p>
            <w:r>
              <w:t>0.00 to 1.00</w:t>
            </w:r>
          </w:p>
        </w:tc>
        <w:tc>
          <w:tcPr>
            <w:tcW w:type="dxa" w:w="3750"/>
            <w:vAlign w:val="center"/>
            <w:tcMar>
              <w:top w:w="80" w:type="dxa"/>
              <w:start w:w="120" w:type="dxa"/>
              <w:bottom w:w="80" w:type="dxa"/>
              <w:end w:w="120" w:type="dxa"/>
            </w:tcMar>
          </w:tcPr>
          <w:p>
            <w:r>
              <w:t>How uncertain the system is about the ability estimate. More independent verified evidence should reduce uncertainty.</w:t>
            </w:r>
          </w:p>
        </w:tc>
        <w:tc>
          <w:tcPr>
            <w:tcW w:type="dxa" w:w="2460"/>
            <w:vAlign w:val="center"/>
            <w:tcMar>
              <w:top w:w="80" w:type="dxa"/>
              <w:start w:w="120" w:type="dxa"/>
              <w:bottom w:w="80" w:type="dxa"/>
              <w:end w:w="120" w:type="dxa"/>
            </w:tcMar>
          </w:tcPr>
          <w:p>
            <w:r>
              <w:t>Java scoring engine</w:t>
            </w:r>
          </w:p>
        </w:tc>
      </w:tr>
      <w:tr>
        <w:tc>
          <w:tcPr>
            <w:tcW w:type="dxa" w:w="1800"/>
            <w:vAlign w:val="center"/>
            <w:tcMar>
              <w:top w:w="80" w:type="dxa"/>
              <w:start w:w="120" w:type="dxa"/>
              <w:bottom w:w="80" w:type="dxa"/>
              <w:end w:w="120" w:type="dxa"/>
            </w:tcMar>
          </w:tcPr>
          <w:p>
            <w:r>
              <w:t>rank</w:t>
            </w:r>
          </w:p>
        </w:tc>
        <w:tc>
          <w:tcPr>
            <w:tcW w:type="dxa" w:w="1350"/>
            <w:vAlign w:val="center"/>
            <w:tcMar>
              <w:top w:w="80" w:type="dxa"/>
              <w:start w:w="120" w:type="dxa"/>
              <w:bottom w:w="80" w:type="dxa"/>
              <w:end w:w="120" w:type="dxa"/>
            </w:tcMar>
          </w:tcPr>
          <w:p>
            <w:r>
              <w:t>Configured enum</w:t>
            </w:r>
          </w:p>
        </w:tc>
        <w:tc>
          <w:tcPr>
            <w:tcW w:type="dxa" w:w="3750"/>
            <w:vAlign w:val="center"/>
            <w:tcMar>
              <w:top w:w="80" w:type="dxa"/>
              <w:start w:w="120" w:type="dxa"/>
              <w:bottom w:w="80" w:type="dxa"/>
              <w:end w:w="120" w:type="dxa"/>
            </w:tcMar>
          </w:tcPr>
          <w:p>
            <w:r>
              <w:t>Human-readable level derived from ability score, confidence, and Judge status.</w:t>
            </w:r>
          </w:p>
        </w:tc>
        <w:tc>
          <w:tcPr>
            <w:tcW w:type="dxa" w:w="2460"/>
            <w:vAlign w:val="center"/>
            <w:tcMar>
              <w:top w:w="80" w:type="dxa"/>
              <w:start w:w="120" w:type="dxa"/>
              <w:bottom w:w="80" w:type="dxa"/>
              <w:end w:w="120" w:type="dxa"/>
            </w:tcMar>
          </w:tcPr>
          <w:p>
            <w:r>
              <w:t>Java engine plus Judge approval</w:t>
            </w:r>
          </w:p>
        </w:tc>
      </w:tr>
    </w:tbl>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7E0"/>
          </w:tcPr>
          <w:p>
            <w:pPr>
              <w:spacing w:after="60"/>
            </w:pPr>
            <w:r>
              <w:rPr>
                <w:rFonts w:ascii="Calibri" w:hAnsi="Calibri"/>
                <w:b/>
                <w:color w:val="1F4D78"/>
                <w:sz w:val="22"/>
              </w:rPr>
              <w:t>Closed scale requirement</w:t>
            </w:r>
          </w:p>
          <w:p>
            <w:pPr>
              <w:spacing w:after="0"/>
            </w:pPr>
            <w:r>
              <w:t>ability_score and activity_difficulty share the same 0-100 scale. experience_score is stored separately and may grow without bound. The system MUST NOT subtract an unbounded cumulative score from a 0-100 activity difficulty.</w:t>
            </w:r>
          </w:p>
        </w:tc>
      </w:tr>
    </w:tbl>
    <w:p>
      <w:pPr>
        <w:pStyle w:val="Heading1"/>
      </w:pPr>
      <w:r>
        <w:t>4. Profile Confidence Policy</w:t>
      </w:r>
    </w:p>
    <w:p>
      <w:r>
        <w:t>New users start at profile_confidence = 0.50. Confidence changes only after a Judge assessment or a recorded human review. A failed assessment may reduce confidence because previous claims were not supported, but it does not automatically mean the user has low ability.</w:t>
      </w:r>
    </w:p>
    <w:tbl>
      <w:tblPr>
        <w:tblStyle w:val="TableGrid"/>
        <w:tblW w:type="dxa" w:w="9360"/>
        <w:jc w:val="center"/>
        <w:tblLayout w:type="fixed"/>
        <w:tblLook w:firstColumn="1" w:firstRow="1" w:lastColumn="0" w:lastRow="0" w:noHBand="0" w:noVBand="1" w:val="04A0"/>
        <w:tblInd w:w="120" w:type="dxa"/>
      </w:tblPr>
      <w:tblGrid>
        <w:gridCol w:w="2400"/>
        <w:gridCol w:w="4000"/>
        <w:gridCol w:w="2960"/>
      </w:tblGrid>
      <w:tr>
        <w:trPr>
          <w:tblHeader w:val="true"/>
        </w:trPr>
        <w:tc>
          <w:tcPr>
            <w:tcW w:type="dxa" w:w="2400"/>
            <w:shd w:fill="E8EEF5"/>
            <w:vAlign w:val="center"/>
            <w:tcMar>
              <w:top w:w="80" w:type="dxa"/>
              <w:start w:w="120" w:type="dxa"/>
              <w:bottom w:w="80" w:type="dxa"/>
              <w:end w:w="120" w:type="dxa"/>
            </w:tcMar>
          </w:tcPr>
          <w:p>
            <w:r>
              <w:rPr>
                <w:b/>
                <w:color w:val="1F4D78"/>
              </w:rPr>
              <w:t>profile_confidence</w:t>
            </w:r>
          </w:p>
        </w:tc>
        <w:tc>
          <w:tcPr>
            <w:tcW w:type="dxa" w:w="4000"/>
            <w:shd w:fill="E8EEF5"/>
            <w:vAlign w:val="center"/>
            <w:tcMar>
              <w:top w:w="80" w:type="dxa"/>
              <w:start w:w="120" w:type="dxa"/>
              <w:bottom w:w="80" w:type="dxa"/>
              <w:end w:w="120" w:type="dxa"/>
            </w:tcMar>
          </w:tcPr>
          <w:p>
            <w:r>
              <w:rPr>
                <w:b/>
                <w:color w:val="1F4D78"/>
              </w:rPr>
              <w:t>Interpretation</w:t>
            </w:r>
          </w:p>
        </w:tc>
        <w:tc>
          <w:tcPr>
            <w:tcW w:type="dxa" w:w="2960"/>
            <w:shd w:fill="E8EEF5"/>
            <w:vAlign w:val="center"/>
            <w:tcMar>
              <w:top w:w="80" w:type="dxa"/>
              <w:start w:w="120" w:type="dxa"/>
              <w:bottom w:w="80" w:type="dxa"/>
              <w:end w:w="120" w:type="dxa"/>
            </w:tcMar>
          </w:tcPr>
          <w:p>
            <w:r>
              <w:rPr>
                <w:b/>
                <w:color w:val="1F4D78"/>
              </w:rPr>
              <w:t>Scoring multiplier</w:t>
            </w:r>
          </w:p>
        </w:tc>
      </w:tr>
      <w:tr>
        <w:tc>
          <w:tcPr>
            <w:tcW w:type="dxa" w:w="2400"/>
            <w:vAlign w:val="center"/>
            <w:tcMar>
              <w:top w:w="80" w:type="dxa"/>
              <w:start w:w="120" w:type="dxa"/>
              <w:bottom w:w="80" w:type="dxa"/>
              <w:end w:w="120" w:type="dxa"/>
            </w:tcMar>
          </w:tcPr>
          <w:p>
            <w:r>
              <w:t>0.00-0.20</w:t>
            </w:r>
          </w:p>
        </w:tc>
        <w:tc>
          <w:tcPr>
            <w:tcW w:type="dxa" w:w="4000"/>
            <w:vAlign w:val="center"/>
            <w:tcMar>
              <w:top w:w="80" w:type="dxa"/>
              <w:start w:w="120" w:type="dxa"/>
              <w:bottom w:w="80" w:type="dxa"/>
              <w:end w:w="120" w:type="dxa"/>
            </w:tcMar>
          </w:tcPr>
          <w:p>
            <w:r>
              <w:t>Very low trust</w:t>
            </w:r>
          </w:p>
        </w:tc>
        <w:tc>
          <w:tcPr>
            <w:tcW w:type="dxa" w:w="2960"/>
            <w:vAlign w:val="center"/>
            <w:tcMar>
              <w:top w:w="80" w:type="dxa"/>
              <w:start w:w="120" w:type="dxa"/>
              <w:bottom w:w="80" w:type="dxa"/>
              <w:end w:w="120" w:type="dxa"/>
            </w:tcMar>
          </w:tcPr>
          <w:p>
            <w:r>
              <w:t>0.85</w:t>
            </w:r>
          </w:p>
        </w:tc>
      </w:tr>
      <w:tr>
        <w:tc>
          <w:tcPr>
            <w:tcW w:type="dxa" w:w="2400"/>
            <w:vAlign w:val="center"/>
            <w:tcMar>
              <w:top w:w="80" w:type="dxa"/>
              <w:start w:w="120" w:type="dxa"/>
              <w:bottom w:w="80" w:type="dxa"/>
              <w:end w:w="120" w:type="dxa"/>
            </w:tcMar>
          </w:tcPr>
          <w:p>
            <w:r>
              <w:t>0.20-0.40</w:t>
            </w:r>
          </w:p>
        </w:tc>
        <w:tc>
          <w:tcPr>
            <w:tcW w:type="dxa" w:w="4000"/>
            <w:vAlign w:val="center"/>
            <w:tcMar>
              <w:top w:w="80" w:type="dxa"/>
              <w:start w:w="120" w:type="dxa"/>
              <w:bottom w:w="80" w:type="dxa"/>
              <w:end w:w="120" w:type="dxa"/>
            </w:tcMar>
          </w:tcPr>
          <w:p>
            <w:r>
              <w:t>Low trust</w:t>
            </w:r>
          </w:p>
        </w:tc>
        <w:tc>
          <w:tcPr>
            <w:tcW w:type="dxa" w:w="2960"/>
            <w:vAlign w:val="center"/>
            <w:tcMar>
              <w:top w:w="80" w:type="dxa"/>
              <w:start w:w="120" w:type="dxa"/>
              <w:bottom w:w="80" w:type="dxa"/>
              <w:end w:w="120" w:type="dxa"/>
            </w:tcMar>
          </w:tcPr>
          <w:p>
            <w:r>
              <w:t>0.92</w:t>
            </w:r>
          </w:p>
        </w:tc>
      </w:tr>
      <w:tr>
        <w:tc>
          <w:tcPr>
            <w:tcW w:type="dxa" w:w="2400"/>
            <w:vAlign w:val="center"/>
            <w:tcMar>
              <w:top w:w="80" w:type="dxa"/>
              <w:start w:w="120" w:type="dxa"/>
              <w:bottom w:w="80" w:type="dxa"/>
              <w:end w:w="120" w:type="dxa"/>
            </w:tcMar>
          </w:tcPr>
          <w:p>
            <w:r>
              <w:t>0.40-0.60</w:t>
            </w:r>
          </w:p>
        </w:tc>
        <w:tc>
          <w:tcPr>
            <w:tcW w:type="dxa" w:w="4000"/>
            <w:vAlign w:val="center"/>
            <w:tcMar>
              <w:top w:w="80" w:type="dxa"/>
              <w:start w:w="120" w:type="dxa"/>
              <w:bottom w:w="80" w:type="dxa"/>
              <w:end w:w="120" w:type="dxa"/>
            </w:tcMar>
          </w:tcPr>
          <w:p>
            <w:r>
              <w:t>Neutral</w:t>
            </w:r>
          </w:p>
        </w:tc>
        <w:tc>
          <w:tcPr>
            <w:tcW w:type="dxa" w:w="2960"/>
            <w:vAlign w:val="center"/>
            <w:tcMar>
              <w:top w:w="80" w:type="dxa"/>
              <w:start w:w="120" w:type="dxa"/>
              <w:bottom w:w="80" w:type="dxa"/>
              <w:end w:w="120" w:type="dxa"/>
            </w:tcMar>
          </w:tcPr>
          <w:p>
            <w:r>
              <w:t>1.00</w:t>
            </w:r>
          </w:p>
        </w:tc>
      </w:tr>
      <w:tr>
        <w:tc>
          <w:tcPr>
            <w:tcW w:type="dxa" w:w="2400"/>
            <w:vAlign w:val="center"/>
            <w:tcMar>
              <w:top w:w="80" w:type="dxa"/>
              <w:start w:w="120" w:type="dxa"/>
              <w:bottom w:w="80" w:type="dxa"/>
              <w:end w:w="120" w:type="dxa"/>
            </w:tcMar>
          </w:tcPr>
          <w:p>
            <w:r>
              <w:t>0.60-0.80</w:t>
            </w:r>
          </w:p>
        </w:tc>
        <w:tc>
          <w:tcPr>
            <w:tcW w:type="dxa" w:w="4000"/>
            <w:vAlign w:val="center"/>
            <w:tcMar>
              <w:top w:w="80" w:type="dxa"/>
              <w:start w:w="120" w:type="dxa"/>
              <w:bottom w:w="80" w:type="dxa"/>
              <w:end w:w="120" w:type="dxa"/>
            </w:tcMar>
          </w:tcPr>
          <w:p>
            <w:r>
              <w:t>Trusted</w:t>
            </w:r>
          </w:p>
        </w:tc>
        <w:tc>
          <w:tcPr>
            <w:tcW w:type="dxa" w:w="2960"/>
            <w:vAlign w:val="center"/>
            <w:tcMar>
              <w:top w:w="80" w:type="dxa"/>
              <w:start w:w="120" w:type="dxa"/>
              <w:bottom w:w="80" w:type="dxa"/>
              <w:end w:w="120" w:type="dxa"/>
            </w:tcMar>
          </w:tcPr>
          <w:p>
            <w:r>
              <w:t>1.05</w:t>
            </w:r>
          </w:p>
        </w:tc>
      </w:tr>
      <w:tr>
        <w:tc>
          <w:tcPr>
            <w:tcW w:type="dxa" w:w="2400"/>
            <w:vAlign w:val="center"/>
            <w:tcMar>
              <w:top w:w="80" w:type="dxa"/>
              <w:start w:w="120" w:type="dxa"/>
              <w:bottom w:w="80" w:type="dxa"/>
              <w:end w:w="120" w:type="dxa"/>
            </w:tcMar>
          </w:tcPr>
          <w:p>
            <w:r>
              <w:t>0.80-1.00</w:t>
            </w:r>
          </w:p>
        </w:tc>
        <w:tc>
          <w:tcPr>
            <w:tcW w:type="dxa" w:w="4000"/>
            <w:vAlign w:val="center"/>
            <w:tcMar>
              <w:top w:w="80" w:type="dxa"/>
              <w:start w:w="120" w:type="dxa"/>
              <w:bottom w:w="80" w:type="dxa"/>
              <w:end w:w="120" w:type="dxa"/>
            </w:tcMar>
          </w:tcPr>
          <w:p>
            <w:r>
              <w:t>Highly trusted</w:t>
            </w:r>
          </w:p>
        </w:tc>
        <w:tc>
          <w:tcPr>
            <w:tcW w:type="dxa" w:w="2960"/>
            <w:vAlign w:val="center"/>
            <w:tcMar>
              <w:top w:w="80" w:type="dxa"/>
              <w:start w:w="120" w:type="dxa"/>
              <w:bottom w:w="80" w:type="dxa"/>
              <w:end w:w="120" w:type="dxa"/>
            </w:tcMar>
          </w:tcPr>
          <w:p>
            <w:r>
              <w:t>1.10</w:t>
            </w:r>
          </w:p>
        </w:tc>
      </w:tr>
    </w:tbl>
    <w:p>
      <w:pPr>
        <w:pStyle w:val="ListBullet"/>
      </w:pPr>
      <w:r>
        <w:t>Confidence is a stabilizer, not the dominant scoring factor.</w:t>
      </w:r>
    </w:p>
    <w:p>
      <w:pPr>
        <w:pStyle w:val="ListBullet"/>
      </w:pPr>
      <w:r>
        <w:t>A single Judge assessment may change confidence by at most 0.08 in either direction.</w:t>
      </w:r>
    </w:p>
    <w:p>
      <w:pPr>
        <w:pStyle w:val="ListBullet"/>
      </w:pPr>
      <w:r>
        <w:t>Strong third-party evidence can still produce a strong verified result for a low-confidence user.</w:t>
      </w:r>
    </w:p>
    <w:p>
      <w:pPr>
        <w:pStyle w:val="ListBullet"/>
      </w:pPr>
      <w:r>
        <w:t>The UI must explain confidence separately from ability and must not label low confidence as low intelligence or low potential.</w:t>
      </w:r>
    </w:p>
    <w:p>
      <w:pPr>
        <w:pStyle w:val="ListBullet"/>
      </w:pPr>
      <w:r>
        <w:t>A failed Judge assessment blocks or delays promotion; it does not erase legitimate historical experience.</w:t>
      </w:r>
    </w:p>
    <w:p>
      <w:pPr>
        <w:pStyle w:val="Heading1"/>
      </w:pPr>
      <w:r>
        <w:t>5. Growth Value and Verification Strength</w:t>
      </w:r>
    </w:p>
    <w:p>
      <w:r>
        <w:t>The system separates how much an activity could develop the user from how strongly the claim is verified. This avoids treating institutional prestige as the same thing as personal growth.</w:t>
      </w:r>
    </w:p>
    <w:tbl>
      <w:tblPr>
        <w:tblStyle w:val="TableGrid"/>
        <w:tblW w:type="dxa" w:w="9360"/>
        <w:jc w:val="center"/>
        <w:tblLayout w:type="fixed"/>
        <w:tblLook w:firstColumn="1" w:firstRow="1" w:lastColumn="0" w:lastRow="0" w:noHBand="0" w:noVBand="1" w:val="04A0"/>
        <w:tblInd w:w="120" w:type="dxa"/>
      </w:tblPr>
      <w:tblGrid>
        <w:gridCol w:w="1900"/>
        <w:gridCol w:w="3800"/>
        <w:gridCol w:w="3660"/>
      </w:tblGrid>
      <w:tr>
        <w:trPr>
          <w:tblHeader w:val="true"/>
        </w:trPr>
        <w:tc>
          <w:tcPr>
            <w:tcW w:type="dxa" w:w="1900"/>
            <w:shd w:fill="E8EEF5"/>
            <w:vAlign w:val="center"/>
            <w:tcMar>
              <w:top w:w="80" w:type="dxa"/>
              <w:start w:w="120" w:type="dxa"/>
              <w:bottom w:w="80" w:type="dxa"/>
              <w:end w:w="120" w:type="dxa"/>
            </w:tcMar>
          </w:tcPr>
          <w:p>
            <w:r>
              <w:rPr>
                <w:b/>
                <w:color w:val="1F4D78"/>
              </w:rPr>
              <w:t>Axis</w:t>
            </w:r>
          </w:p>
        </w:tc>
        <w:tc>
          <w:tcPr>
            <w:tcW w:type="dxa" w:w="3800"/>
            <w:shd w:fill="E8EEF5"/>
            <w:vAlign w:val="center"/>
            <w:tcMar>
              <w:top w:w="80" w:type="dxa"/>
              <w:start w:w="120" w:type="dxa"/>
              <w:bottom w:w="80" w:type="dxa"/>
              <w:end w:w="120" w:type="dxa"/>
            </w:tcMar>
          </w:tcPr>
          <w:p>
            <w:r>
              <w:rPr>
                <w:b/>
                <w:color w:val="1F4D78"/>
              </w:rPr>
              <w:t>Main factors</w:t>
            </w:r>
          </w:p>
        </w:tc>
        <w:tc>
          <w:tcPr>
            <w:tcW w:type="dxa" w:w="3660"/>
            <w:shd w:fill="E8EEF5"/>
            <w:vAlign w:val="center"/>
            <w:tcMar>
              <w:top w:w="80" w:type="dxa"/>
              <w:start w:w="120" w:type="dxa"/>
              <w:bottom w:w="80" w:type="dxa"/>
              <w:end w:w="120" w:type="dxa"/>
            </w:tcMar>
          </w:tcPr>
          <w:p>
            <w:r>
              <w:rPr>
                <w:b/>
                <w:color w:val="1F4D78"/>
              </w:rPr>
              <w:t>Interpretation</w:t>
            </w:r>
          </w:p>
        </w:tc>
      </w:tr>
      <w:tr>
        <w:tc>
          <w:tcPr>
            <w:tcW w:type="dxa" w:w="1900"/>
            <w:vAlign w:val="center"/>
            <w:tcMar>
              <w:top w:w="80" w:type="dxa"/>
              <w:start w:w="120" w:type="dxa"/>
              <w:bottom w:w="80" w:type="dxa"/>
              <w:end w:w="120" w:type="dxa"/>
            </w:tcMar>
          </w:tcPr>
          <w:p>
            <w:r>
              <w:t>Growth value</w:t>
            </w:r>
          </w:p>
        </w:tc>
        <w:tc>
          <w:tcPr>
            <w:tcW w:type="dxa" w:w="3800"/>
            <w:vAlign w:val="center"/>
            <w:tcMar>
              <w:top w:w="80" w:type="dxa"/>
              <w:start w:w="120" w:type="dxa"/>
              <w:bottom w:w="80" w:type="dxa"/>
              <w:end w:w="120" w:type="dxa"/>
            </w:tcMar>
          </w:tcPr>
          <w:p>
            <w:r>
              <w:t>Difficulty match, completion quality, relevance, personal contribution, novelty, duration and depth.</w:t>
            </w:r>
          </w:p>
        </w:tc>
        <w:tc>
          <w:tcPr>
            <w:tcW w:type="dxa" w:w="3660"/>
            <w:vAlign w:val="center"/>
            <w:tcMar>
              <w:top w:w="80" w:type="dxa"/>
              <w:start w:w="120" w:type="dxa"/>
              <w:bottom w:w="80" w:type="dxa"/>
              <w:end w:w="120" w:type="dxa"/>
            </w:tcMar>
          </w:tcPr>
          <w:p>
            <w:r>
              <w:t>How much ability growth this activity can reasonably support.</w:t>
            </w:r>
          </w:p>
        </w:tc>
      </w:tr>
      <w:tr>
        <w:tc>
          <w:tcPr>
            <w:tcW w:type="dxa" w:w="1900"/>
            <w:vAlign w:val="center"/>
            <w:tcMar>
              <w:top w:w="80" w:type="dxa"/>
              <w:start w:w="120" w:type="dxa"/>
              <w:bottom w:w="80" w:type="dxa"/>
              <w:end w:w="120" w:type="dxa"/>
            </w:tcMar>
          </w:tcPr>
          <w:p>
            <w:r>
              <w:t>Verification strength</w:t>
            </w:r>
          </w:p>
        </w:tc>
        <w:tc>
          <w:tcPr>
            <w:tcW w:type="dxa" w:w="3800"/>
            <w:vAlign w:val="center"/>
            <w:tcMar>
              <w:top w:w="80" w:type="dxa"/>
              <w:start w:w="120" w:type="dxa"/>
              <w:bottom w:w="80" w:type="dxa"/>
              <w:end w:w="120" w:type="dxa"/>
            </w:tcMar>
          </w:tcPr>
          <w:p>
            <w:r>
              <w:t>Source verifiability, artifact quality, third-party confirmation, contribution clarity and consistency.</w:t>
            </w:r>
          </w:p>
        </w:tc>
        <w:tc>
          <w:tcPr>
            <w:tcW w:type="dxa" w:w="3660"/>
            <w:vAlign w:val="center"/>
            <w:tcMar>
              <w:top w:w="80" w:type="dxa"/>
              <w:start w:w="120" w:type="dxa"/>
              <w:bottom w:w="80" w:type="dxa"/>
              <w:end w:w="120" w:type="dxa"/>
            </w:tcMar>
          </w:tcPr>
          <w:p>
            <w:r>
              <w:t>How strongly the system may trust the claimed growth.</w:t>
            </w:r>
          </w:p>
        </w:tc>
      </w:tr>
    </w:tbl>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4EC"/>
          </w:tcPr>
          <w:p>
            <w:pPr>
              <w:spacing w:after="60"/>
            </w:pPr>
            <w:r>
              <w:rPr>
                <w:rFonts w:ascii="Calibri" w:hAnsi="Calibri"/>
                <w:b/>
                <w:color w:val="1F4D78"/>
                <w:sz w:val="22"/>
              </w:rPr>
              <w:t>Institutional source rule</w:t>
            </w:r>
          </w:p>
          <w:p>
            <w:pPr>
              <w:spacing w:after="0"/>
            </w:pPr>
            <w:r>
              <w:t>A company internship keeps a higher default source-verifiability prior than an unsupported personal claim. However, it receives no automatic growth-value bonus. A strong individual project with a public repository, runnable demo, tests, commit history, and clear ownership may exceed an ordinary internship in both growth value and final verified contribution.</w:t>
            </w:r>
          </w:p>
        </w:tc>
      </w:tr>
    </w:tbl>
    <w:p>
      <w:pPr>
        <w:pStyle w:val="Heading1"/>
      </w:pPr>
      <w:r>
        <w:t>6. Server-Side Source Priors</w:t>
      </w:r>
    </w:p>
    <w:p>
      <w:r>
        <w:t>These values are defaults for verifiability, not judgments of human worth or technical depth. They MUST be stored in versioned server configuration. The LLM and the user MUST NOT directly set them.</w:t>
      </w:r>
    </w:p>
    <w:tbl>
      <w:tblPr>
        <w:tblStyle w:val="TableGrid"/>
        <w:tblW w:type="dxa" w:w="9360"/>
        <w:jc w:val="center"/>
        <w:tblLayout w:type="fixed"/>
        <w:tblLook w:firstColumn="1" w:firstRow="1" w:lastColumn="0" w:lastRow="0" w:noHBand="0" w:noVBand="1" w:val="04A0"/>
        <w:tblInd w:w="120" w:type="dxa"/>
      </w:tblPr>
      <w:tblGrid>
        <w:gridCol w:w="2850"/>
        <w:gridCol w:w="1700"/>
        <w:gridCol w:w="4810"/>
      </w:tblGrid>
      <w:tr>
        <w:trPr>
          <w:tblHeader w:val="true"/>
        </w:trPr>
        <w:tc>
          <w:tcPr>
            <w:tcW w:type="dxa" w:w="2850"/>
            <w:shd w:fill="E8EEF5"/>
            <w:vAlign w:val="center"/>
            <w:tcMar>
              <w:top w:w="80" w:type="dxa"/>
              <w:start w:w="120" w:type="dxa"/>
              <w:bottom w:w="80" w:type="dxa"/>
              <w:end w:w="120" w:type="dxa"/>
            </w:tcMar>
          </w:tcPr>
          <w:p>
            <w:r>
              <w:rPr>
                <w:b/>
                <w:color w:val="1F4D78"/>
              </w:rPr>
              <w:t>Source type</w:t>
            </w:r>
          </w:p>
        </w:tc>
        <w:tc>
          <w:tcPr>
            <w:tcW w:type="dxa" w:w="1700"/>
            <w:shd w:fill="E8EEF5"/>
            <w:vAlign w:val="center"/>
            <w:tcMar>
              <w:top w:w="80" w:type="dxa"/>
              <w:start w:w="120" w:type="dxa"/>
              <w:bottom w:w="80" w:type="dxa"/>
              <w:end w:w="120" w:type="dxa"/>
            </w:tcMar>
          </w:tcPr>
          <w:p>
            <w:r>
              <w:rPr>
                <w:b/>
                <w:color w:val="1F4D78"/>
              </w:rPr>
              <w:t>Default prior</w:t>
            </w:r>
          </w:p>
        </w:tc>
        <w:tc>
          <w:tcPr>
            <w:tcW w:type="dxa" w:w="4810"/>
            <w:shd w:fill="E8EEF5"/>
            <w:vAlign w:val="center"/>
            <w:tcMar>
              <w:top w:w="80" w:type="dxa"/>
              <w:start w:w="120" w:type="dxa"/>
              <w:bottom w:w="80" w:type="dxa"/>
              <w:end w:w="120" w:type="dxa"/>
            </w:tcMar>
          </w:tcPr>
          <w:p>
            <w:r>
              <w:rPr>
                <w:b/>
                <w:color w:val="1F4D78"/>
              </w:rPr>
              <w:t>Notes</w:t>
            </w:r>
          </w:p>
        </w:tc>
      </w:tr>
      <w:tr>
        <w:tc>
          <w:tcPr>
            <w:tcW w:type="dxa" w:w="2850"/>
            <w:vAlign w:val="center"/>
            <w:tcMar>
              <w:top w:w="80" w:type="dxa"/>
              <w:start w:w="120" w:type="dxa"/>
              <w:bottom w:w="80" w:type="dxa"/>
              <w:end w:w="120" w:type="dxa"/>
            </w:tcMar>
          </w:tcPr>
          <w:p>
            <w:r>
              <w:t>self_report</w:t>
            </w:r>
          </w:p>
        </w:tc>
        <w:tc>
          <w:tcPr>
            <w:tcW w:type="dxa" w:w="1700"/>
            <w:vAlign w:val="center"/>
            <w:tcMar>
              <w:top w:w="80" w:type="dxa"/>
              <w:start w:w="120" w:type="dxa"/>
              <w:bottom w:w="80" w:type="dxa"/>
              <w:end w:w="120" w:type="dxa"/>
            </w:tcMar>
          </w:tcPr>
          <w:p>
            <w:r>
              <w:t>0.45</w:t>
            </w:r>
          </w:p>
        </w:tc>
        <w:tc>
          <w:tcPr>
            <w:tcW w:type="dxa" w:w="4810"/>
            <w:vAlign w:val="center"/>
            <w:tcMar>
              <w:top w:w="80" w:type="dxa"/>
              <w:start w:w="120" w:type="dxa"/>
              <w:bottom w:w="80" w:type="dxa"/>
              <w:end w:w="120" w:type="dxa"/>
            </w:tcMar>
          </w:tcPr>
          <w:p>
            <w:r>
              <w:t>Useful as a lead, but weak without supporting artifacts.</w:t>
            </w:r>
          </w:p>
        </w:tc>
      </w:tr>
      <w:tr>
        <w:tc>
          <w:tcPr>
            <w:tcW w:type="dxa" w:w="2850"/>
            <w:vAlign w:val="center"/>
            <w:tcMar>
              <w:top w:w="80" w:type="dxa"/>
              <w:start w:w="120" w:type="dxa"/>
              <w:bottom w:w="80" w:type="dxa"/>
              <w:end w:w="120" w:type="dxa"/>
            </w:tcMar>
          </w:tcPr>
          <w:p>
            <w:r>
              <w:t>private personal record</w:t>
            </w:r>
          </w:p>
        </w:tc>
        <w:tc>
          <w:tcPr>
            <w:tcW w:type="dxa" w:w="1700"/>
            <w:vAlign w:val="center"/>
            <w:tcMar>
              <w:top w:w="80" w:type="dxa"/>
              <w:start w:w="120" w:type="dxa"/>
              <w:bottom w:w="80" w:type="dxa"/>
              <w:end w:w="120" w:type="dxa"/>
            </w:tcMar>
          </w:tcPr>
          <w:p>
            <w:r>
              <w:t>0.50</w:t>
            </w:r>
          </w:p>
        </w:tc>
        <w:tc>
          <w:tcPr>
            <w:tcW w:type="dxa" w:w="4810"/>
            <w:vAlign w:val="center"/>
            <w:tcMar>
              <w:top w:w="80" w:type="dxa"/>
              <w:start w:w="120" w:type="dxa"/>
              <w:bottom w:w="80" w:type="dxa"/>
              <w:end w:w="120" w:type="dxa"/>
            </w:tcMar>
          </w:tcPr>
          <w:p>
            <w:r>
              <w:t>Description or screenshot without independent verification.</w:t>
            </w:r>
          </w:p>
        </w:tc>
      </w:tr>
      <w:tr>
        <w:tc>
          <w:tcPr>
            <w:tcW w:type="dxa" w:w="2850"/>
            <w:vAlign w:val="center"/>
            <w:tcMar>
              <w:top w:w="80" w:type="dxa"/>
              <w:start w:w="120" w:type="dxa"/>
              <w:bottom w:w="80" w:type="dxa"/>
              <w:end w:w="120" w:type="dxa"/>
            </w:tcMar>
          </w:tcPr>
          <w:p>
            <w:r>
              <w:t>public code repository</w:t>
            </w:r>
          </w:p>
        </w:tc>
        <w:tc>
          <w:tcPr>
            <w:tcW w:type="dxa" w:w="1700"/>
            <w:vAlign w:val="center"/>
            <w:tcMar>
              <w:top w:w="80" w:type="dxa"/>
              <w:start w:w="120" w:type="dxa"/>
              <w:bottom w:w="80" w:type="dxa"/>
              <w:end w:w="120" w:type="dxa"/>
            </w:tcMar>
          </w:tcPr>
          <w:p>
            <w:r>
              <w:t>0.70</w:t>
            </w:r>
          </w:p>
        </w:tc>
        <w:tc>
          <w:tcPr>
            <w:tcW w:type="dxa" w:w="4810"/>
            <w:vAlign w:val="center"/>
            <w:tcMar>
              <w:top w:w="80" w:type="dxa"/>
              <w:start w:w="120" w:type="dxa"/>
              <w:bottom w:w="80" w:type="dxa"/>
              <w:end w:w="120" w:type="dxa"/>
            </w:tcMar>
          </w:tcPr>
          <w:p>
            <w:r>
              <w:t>Commit history and ownership can increase confidence.</w:t>
            </w:r>
          </w:p>
        </w:tc>
      </w:tr>
      <w:tr>
        <w:tc>
          <w:tcPr>
            <w:tcW w:type="dxa" w:w="2850"/>
            <w:vAlign w:val="center"/>
            <w:tcMar>
              <w:top w:w="80" w:type="dxa"/>
              <w:start w:w="120" w:type="dxa"/>
              <w:bottom w:w="80" w:type="dxa"/>
              <w:end w:w="120" w:type="dxa"/>
            </w:tcMar>
          </w:tcPr>
          <w:p>
            <w:r>
              <w:t>runnable personal demo</w:t>
            </w:r>
          </w:p>
        </w:tc>
        <w:tc>
          <w:tcPr>
            <w:tcW w:type="dxa" w:w="1700"/>
            <w:vAlign w:val="center"/>
            <w:tcMar>
              <w:top w:w="80" w:type="dxa"/>
              <w:start w:w="120" w:type="dxa"/>
              <w:bottom w:w="80" w:type="dxa"/>
              <w:end w:w="120" w:type="dxa"/>
            </w:tcMar>
          </w:tcPr>
          <w:p>
            <w:r>
              <w:t>0.80</w:t>
            </w:r>
          </w:p>
        </w:tc>
        <w:tc>
          <w:tcPr>
            <w:tcW w:type="dxa" w:w="4810"/>
            <w:vAlign w:val="center"/>
            <w:tcMar>
              <w:top w:w="80" w:type="dxa"/>
              <w:start w:w="120" w:type="dxa"/>
              <w:bottom w:w="80" w:type="dxa"/>
              <w:end w:w="120" w:type="dxa"/>
            </w:tcMar>
          </w:tcPr>
          <w:p>
            <w:r>
              <w:t>Strong artifact evidence; does not prove every claimed contribution by itself.</w:t>
            </w:r>
          </w:p>
        </w:tc>
      </w:tr>
      <w:tr>
        <w:tc>
          <w:tcPr>
            <w:tcW w:type="dxa" w:w="2850"/>
            <w:vAlign w:val="center"/>
            <w:tcMar>
              <w:top w:w="80" w:type="dxa"/>
              <w:start w:w="120" w:type="dxa"/>
              <w:bottom w:w="80" w:type="dxa"/>
              <w:end w:w="120" w:type="dxa"/>
            </w:tcMar>
          </w:tcPr>
          <w:p>
            <w:r>
              <w:t>school course or assignment</w:t>
            </w:r>
          </w:p>
        </w:tc>
        <w:tc>
          <w:tcPr>
            <w:tcW w:type="dxa" w:w="1700"/>
            <w:vAlign w:val="center"/>
            <w:tcMar>
              <w:top w:w="80" w:type="dxa"/>
              <w:start w:w="120" w:type="dxa"/>
              <w:bottom w:w="80" w:type="dxa"/>
              <w:end w:w="120" w:type="dxa"/>
            </w:tcMar>
          </w:tcPr>
          <w:p>
            <w:r>
              <w:t>0.75</w:t>
            </w:r>
          </w:p>
        </w:tc>
        <w:tc>
          <w:tcPr>
            <w:tcW w:type="dxa" w:w="4810"/>
            <w:vAlign w:val="center"/>
            <w:tcMar>
              <w:top w:w="80" w:type="dxa"/>
              <w:start w:w="120" w:type="dxa"/>
              <w:bottom w:w="80" w:type="dxa"/>
              <w:end w:w="120" w:type="dxa"/>
            </w:tcMar>
          </w:tcPr>
          <w:p>
            <w:r>
              <w:t>Institutionally anchored, but actual contribution still matters.</w:t>
            </w:r>
          </w:p>
        </w:tc>
      </w:tr>
      <w:tr>
        <w:tc>
          <w:tcPr>
            <w:tcW w:type="dxa" w:w="2850"/>
            <w:vAlign w:val="center"/>
            <w:tcMar>
              <w:top w:w="80" w:type="dxa"/>
              <w:start w:w="120" w:type="dxa"/>
              <w:bottom w:w="80" w:type="dxa"/>
              <w:end w:w="120" w:type="dxa"/>
            </w:tcMar>
          </w:tcPr>
          <w:p>
            <w:r>
              <w:t>company internship or work record</w:t>
            </w:r>
          </w:p>
        </w:tc>
        <w:tc>
          <w:tcPr>
            <w:tcW w:type="dxa" w:w="1700"/>
            <w:vAlign w:val="center"/>
            <w:tcMar>
              <w:top w:w="80" w:type="dxa"/>
              <w:start w:w="120" w:type="dxa"/>
              <w:bottom w:w="80" w:type="dxa"/>
              <w:end w:w="120" w:type="dxa"/>
            </w:tcMar>
          </w:tcPr>
          <w:p>
            <w:r>
              <w:t>0.85</w:t>
            </w:r>
          </w:p>
        </w:tc>
        <w:tc>
          <w:tcPr>
            <w:tcW w:type="dxa" w:w="4810"/>
            <w:vAlign w:val="center"/>
            <w:tcMar>
              <w:top w:w="80" w:type="dxa"/>
              <w:start w:w="120" w:type="dxa"/>
              <w:bottom w:w="80" w:type="dxa"/>
              <w:end w:w="120" w:type="dxa"/>
            </w:tcMar>
          </w:tcPr>
          <w:p>
            <w:r>
              <w:t>Higher default verifiability; no automatic growth bonus.</w:t>
            </w:r>
          </w:p>
        </w:tc>
      </w:tr>
      <w:tr>
        <w:tc>
          <w:tcPr>
            <w:tcW w:type="dxa" w:w="2850"/>
            <w:vAlign w:val="center"/>
            <w:tcMar>
              <w:top w:w="80" w:type="dxa"/>
              <w:start w:w="120" w:type="dxa"/>
              <w:bottom w:w="80" w:type="dxa"/>
              <w:end w:w="120" w:type="dxa"/>
            </w:tcMar>
          </w:tcPr>
          <w:p>
            <w:r>
              <w:t>known contest platform</w:t>
            </w:r>
          </w:p>
        </w:tc>
        <w:tc>
          <w:tcPr>
            <w:tcW w:type="dxa" w:w="1700"/>
            <w:vAlign w:val="center"/>
            <w:tcMar>
              <w:top w:w="80" w:type="dxa"/>
              <w:start w:w="120" w:type="dxa"/>
              <w:bottom w:w="80" w:type="dxa"/>
              <w:end w:w="120" w:type="dxa"/>
            </w:tcMar>
          </w:tcPr>
          <w:p>
            <w:r>
              <w:t>0.90</w:t>
            </w:r>
          </w:p>
        </w:tc>
        <w:tc>
          <w:tcPr>
            <w:tcW w:type="dxa" w:w="4810"/>
            <w:vAlign w:val="center"/>
            <w:tcMar>
              <w:top w:w="80" w:type="dxa"/>
              <w:start w:w="120" w:type="dxa"/>
              <w:bottom w:w="80" w:type="dxa"/>
              <w:end w:w="120" w:type="dxa"/>
            </w:tcMar>
          </w:tcPr>
          <w:p>
            <w:r>
              <w:t>Ranking and submission records are independently checkable.</w:t>
            </w:r>
          </w:p>
        </w:tc>
      </w:tr>
      <w:tr>
        <w:tc>
          <w:tcPr>
            <w:tcW w:type="dxa" w:w="2850"/>
            <w:vAlign w:val="center"/>
            <w:tcMar>
              <w:top w:w="80" w:type="dxa"/>
              <w:start w:w="120" w:type="dxa"/>
              <w:bottom w:w="80" w:type="dxa"/>
              <w:end w:w="120" w:type="dxa"/>
            </w:tcMar>
          </w:tcPr>
          <w:p>
            <w:r>
              <w:t>official certificate authority</w:t>
            </w:r>
          </w:p>
        </w:tc>
        <w:tc>
          <w:tcPr>
            <w:tcW w:type="dxa" w:w="1700"/>
            <w:vAlign w:val="center"/>
            <w:tcMar>
              <w:top w:w="80" w:type="dxa"/>
              <w:start w:w="120" w:type="dxa"/>
              <w:bottom w:w="80" w:type="dxa"/>
              <w:end w:w="120" w:type="dxa"/>
            </w:tcMar>
          </w:tcPr>
          <w:p>
            <w:r>
              <w:t>0.90</w:t>
            </w:r>
          </w:p>
        </w:tc>
        <w:tc>
          <w:tcPr>
            <w:tcW w:type="dxa" w:w="4810"/>
            <w:vAlign w:val="center"/>
            <w:tcMar>
              <w:top w:w="80" w:type="dxa"/>
              <w:start w:w="120" w:type="dxa"/>
              <w:bottom w:w="80" w:type="dxa"/>
              <w:end w:w="120" w:type="dxa"/>
            </w:tcMar>
          </w:tcPr>
          <w:p>
            <w:r>
              <w:t>Credential authenticity is strong; skill coverage may still be narrow.</w:t>
            </w:r>
          </w:p>
        </w:tc>
      </w:tr>
      <w:tr>
        <w:tc>
          <w:tcPr>
            <w:tcW w:type="dxa" w:w="2850"/>
            <w:vAlign w:val="center"/>
            <w:tcMar>
              <w:top w:w="80" w:type="dxa"/>
              <w:start w:w="120" w:type="dxa"/>
              <w:bottom w:w="80" w:type="dxa"/>
              <w:end w:w="120" w:type="dxa"/>
            </w:tcMar>
          </w:tcPr>
          <w:p>
            <w:r>
              <w:t>verified third-party record</w:t>
            </w:r>
          </w:p>
        </w:tc>
        <w:tc>
          <w:tcPr>
            <w:tcW w:type="dxa" w:w="1700"/>
            <w:vAlign w:val="center"/>
            <w:tcMar>
              <w:top w:w="80" w:type="dxa"/>
              <w:start w:w="120" w:type="dxa"/>
              <w:bottom w:w="80" w:type="dxa"/>
              <w:end w:w="120" w:type="dxa"/>
            </w:tcMar>
          </w:tcPr>
          <w:p>
            <w:r>
              <w:t>0.95</w:t>
            </w:r>
          </w:p>
        </w:tc>
        <w:tc>
          <w:tcPr>
            <w:tcW w:type="dxa" w:w="4810"/>
            <w:vAlign w:val="center"/>
            <w:tcMar>
              <w:top w:w="80" w:type="dxa"/>
              <w:start w:w="120" w:type="dxa"/>
              <w:bottom w:w="80" w:type="dxa"/>
              <w:end w:w="120" w:type="dxa"/>
            </w:tcMar>
          </w:tcPr>
          <w:p>
            <w:r>
              <w:t>Highest normal prior; still subject to relevance and contribution checks.</w:t>
            </w:r>
          </w:p>
        </w:tc>
      </w:tr>
    </w:tbl>
    <w:p>
      <w:pPr>
        <w:pStyle w:val="Heading1"/>
      </w:pPr>
      <w:r>
        <w:t>7. Evidence and Completion Rules</w:t>
      </w:r>
    </w:p>
    <w:tbl>
      <w:tblPr>
        <w:tblStyle w:val="TableGrid"/>
        <w:tblW w:type="dxa" w:w="9360"/>
        <w:jc w:val="center"/>
        <w:tblLayout w:type="fixed"/>
        <w:tblLook w:firstColumn="1" w:firstRow="1" w:lastColumn="0" w:lastRow="0" w:noHBand="0" w:noVBand="1" w:val="04A0"/>
        <w:tblInd w:w="120" w:type="dxa"/>
      </w:tblPr>
      <w:tblGrid>
        <w:gridCol w:w="2350"/>
        <w:gridCol w:w="1450"/>
        <w:gridCol w:w="5560"/>
      </w:tblGrid>
      <w:tr>
        <w:trPr>
          <w:tblHeader w:val="true"/>
        </w:trPr>
        <w:tc>
          <w:tcPr>
            <w:tcW w:type="dxa" w:w="2350"/>
            <w:shd w:fill="E8EEF5"/>
            <w:vAlign w:val="center"/>
            <w:tcMar>
              <w:top w:w="80" w:type="dxa"/>
              <w:start w:w="120" w:type="dxa"/>
              <w:bottom w:w="80" w:type="dxa"/>
              <w:end w:w="120" w:type="dxa"/>
            </w:tcMar>
          </w:tcPr>
          <w:p>
            <w:r>
              <w:rPr>
                <w:b/>
                <w:color w:val="1F4D78"/>
              </w:rPr>
              <w:t>Factor</w:t>
            </w:r>
          </w:p>
        </w:tc>
        <w:tc>
          <w:tcPr>
            <w:tcW w:type="dxa" w:w="1450"/>
            <w:shd w:fill="E8EEF5"/>
            <w:vAlign w:val="center"/>
            <w:tcMar>
              <w:top w:w="80" w:type="dxa"/>
              <w:start w:w="120" w:type="dxa"/>
              <w:bottom w:w="80" w:type="dxa"/>
              <w:end w:w="120" w:type="dxa"/>
            </w:tcMar>
          </w:tcPr>
          <w:p>
            <w:r>
              <w:rPr>
                <w:b/>
                <w:color w:val="1F4D78"/>
              </w:rPr>
              <w:t>Range</w:t>
            </w:r>
          </w:p>
        </w:tc>
        <w:tc>
          <w:tcPr>
            <w:tcW w:type="dxa" w:w="5560"/>
            <w:shd w:fill="E8EEF5"/>
            <w:vAlign w:val="center"/>
            <w:tcMar>
              <w:top w:w="80" w:type="dxa"/>
              <w:start w:w="120" w:type="dxa"/>
              <w:bottom w:w="80" w:type="dxa"/>
              <w:end w:w="120" w:type="dxa"/>
            </w:tcMar>
          </w:tcPr>
          <w:p>
            <w:r>
              <w:rPr>
                <w:b/>
                <w:color w:val="1F4D78"/>
              </w:rPr>
              <w:t>Required interpretation</w:t>
            </w:r>
          </w:p>
        </w:tc>
      </w:tr>
      <w:tr>
        <w:tc>
          <w:tcPr>
            <w:tcW w:type="dxa" w:w="2350"/>
            <w:vAlign w:val="center"/>
            <w:tcMar>
              <w:top w:w="80" w:type="dxa"/>
              <w:start w:w="120" w:type="dxa"/>
              <w:bottom w:w="80" w:type="dxa"/>
              <w:end w:w="120" w:type="dxa"/>
            </w:tcMar>
          </w:tcPr>
          <w:p>
            <w:r>
              <w:t>activity_difficulty</w:t>
            </w:r>
          </w:p>
        </w:tc>
        <w:tc>
          <w:tcPr>
            <w:tcW w:type="dxa" w:w="1450"/>
            <w:vAlign w:val="center"/>
            <w:tcMar>
              <w:top w:w="80" w:type="dxa"/>
              <w:start w:w="120" w:type="dxa"/>
              <w:bottom w:w="80" w:type="dxa"/>
              <w:end w:w="120" w:type="dxa"/>
            </w:tcMar>
          </w:tcPr>
          <w:p>
            <w:r>
              <w:t>0-100</w:t>
            </w:r>
          </w:p>
        </w:tc>
        <w:tc>
          <w:tcPr>
            <w:tcW w:type="dxa" w:w="5560"/>
            <w:vAlign w:val="center"/>
            <w:tcMar>
              <w:top w:w="80" w:type="dxa"/>
              <w:start w:w="120" w:type="dxa"/>
              <w:bottom w:w="80" w:type="dxa"/>
              <w:end w:w="120" w:type="dxa"/>
            </w:tcMar>
          </w:tcPr>
          <w:p>
            <w:r>
              <w:t>Difficulty of the actual work performed, not the prestige of the title.</w:t>
            </w:r>
          </w:p>
        </w:tc>
      </w:tr>
      <w:tr>
        <w:tc>
          <w:tcPr>
            <w:tcW w:type="dxa" w:w="2350"/>
            <w:vAlign w:val="center"/>
            <w:tcMar>
              <w:top w:w="80" w:type="dxa"/>
              <w:start w:w="120" w:type="dxa"/>
              <w:bottom w:w="80" w:type="dxa"/>
              <w:end w:w="120" w:type="dxa"/>
            </w:tcMar>
          </w:tcPr>
          <w:p>
            <w:r>
              <w:t>completion_quality</w:t>
            </w:r>
          </w:p>
        </w:tc>
        <w:tc>
          <w:tcPr>
            <w:tcW w:type="dxa" w:w="1450"/>
            <w:vAlign w:val="center"/>
            <w:tcMar>
              <w:top w:w="80" w:type="dxa"/>
              <w:start w:w="120" w:type="dxa"/>
              <w:bottom w:w="80" w:type="dxa"/>
              <w:end w:w="120" w:type="dxa"/>
            </w:tcMar>
          </w:tcPr>
          <w:p>
            <w:r>
              <w:t>0.00-1.00</w:t>
            </w:r>
          </w:p>
        </w:tc>
        <w:tc>
          <w:tcPr>
            <w:tcW w:type="dxa" w:w="5560"/>
            <w:vAlign w:val="center"/>
            <w:tcMar>
              <w:top w:w="80" w:type="dxa"/>
              <w:start w:w="120" w:type="dxa"/>
              <w:bottom w:w="80" w:type="dxa"/>
              <w:end w:w="120" w:type="dxa"/>
            </w:tcMar>
          </w:tcPr>
          <w:p>
            <w:r>
              <w:t>How complete and successful the outcome was.</w:t>
            </w:r>
          </w:p>
        </w:tc>
      </w:tr>
      <w:tr>
        <w:tc>
          <w:tcPr>
            <w:tcW w:type="dxa" w:w="2350"/>
            <w:vAlign w:val="center"/>
            <w:tcMar>
              <w:top w:w="80" w:type="dxa"/>
              <w:start w:w="120" w:type="dxa"/>
              <w:bottom w:w="80" w:type="dxa"/>
              <w:end w:w="120" w:type="dxa"/>
            </w:tcMar>
          </w:tcPr>
          <w:p>
            <w:r>
              <w:t>personal_contribution</w:t>
            </w:r>
          </w:p>
        </w:tc>
        <w:tc>
          <w:tcPr>
            <w:tcW w:type="dxa" w:w="1450"/>
            <w:vAlign w:val="center"/>
            <w:tcMar>
              <w:top w:w="80" w:type="dxa"/>
              <w:start w:w="120" w:type="dxa"/>
              <w:bottom w:w="80" w:type="dxa"/>
              <w:end w:w="120" w:type="dxa"/>
            </w:tcMar>
          </w:tcPr>
          <w:p>
            <w:r>
              <w:t>0.00-1.00</w:t>
            </w:r>
          </w:p>
        </w:tc>
        <w:tc>
          <w:tcPr>
            <w:tcW w:type="dxa" w:w="5560"/>
            <w:vAlign w:val="center"/>
            <w:tcMar>
              <w:top w:w="80" w:type="dxa"/>
              <w:start w:w="120" w:type="dxa"/>
              <w:bottom w:w="80" w:type="dxa"/>
              <w:end w:w="120" w:type="dxa"/>
            </w:tcMar>
          </w:tcPr>
          <w:p>
            <w:r>
              <w:t>How much of the result can be attributed to this user.</w:t>
            </w:r>
          </w:p>
        </w:tc>
      </w:tr>
      <w:tr>
        <w:tc>
          <w:tcPr>
            <w:tcW w:type="dxa" w:w="2350"/>
            <w:vAlign w:val="center"/>
            <w:tcMar>
              <w:top w:w="80" w:type="dxa"/>
              <w:start w:w="120" w:type="dxa"/>
              <w:bottom w:w="80" w:type="dxa"/>
              <w:end w:w="120" w:type="dxa"/>
            </w:tcMar>
          </w:tcPr>
          <w:p>
            <w:r>
              <w:t>dimension_relevance</w:t>
            </w:r>
          </w:p>
        </w:tc>
        <w:tc>
          <w:tcPr>
            <w:tcW w:type="dxa" w:w="1450"/>
            <w:vAlign w:val="center"/>
            <w:tcMar>
              <w:top w:w="80" w:type="dxa"/>
              <w:start w:w="120" w:type="dxa"/>
              <w:bottom w:w="80" w:type="dxa"/>
              <w:end w:w="120" w:type="dxa"/>
            </w:tcMar>
          </w:tcPr>
          <w:p>
            <w:r>
              <w:t>0.00-1.00</w:t>
            </w:r>
          </w:p>
        </w:tc>
        <w:tc>
          <w:tcPr>
            <w:tcW w:type="dxa" w:w="5560"/>
            <w:vAlign w:val="center"/>
            <w:tcMar>
              <w:top w:w="80" w:type="dxa"/>
              <w:start w:w="120" w:type="dxa"/>
              <w:bottom w:w="80" w:type="dxa"/>
              <w:end w:w="120" w:type="dxa"/>
            </w:tcMar>
          </w:tcPr>
          <w:p>
            <w:r>
              <w:t>Strength of the connection to a specific ability dimension.</w:t>
            </w:r>
          </w:p>
        </w:tc>
      </w:tr>
      <w:tr>
        <w:tc>
          <w:tcPr>
            <w:tcW w:type="dxa" w:w="2350"/>
            <w:vAlign w:val="center"/>
            <w:tcMar>
              <w:top w:w="80" w:type="dxa"/>
              <w:start w:w="120" w:type="dxa"/>
              <w:bottom w:w="80" w:type="dxa"/>
              <w:end w:w="120" w:type="dxa"/>
            </w:tcMar>
          </w:tcPr>
          <w:p>
            <w:r>
              <w:t>evidence_quality</w:t>
            </w:r>
          </w:p>
        </w:tc>
        <w:tc>
          <w:tcPr>
            <w:tcW w:type="dxa" w:w="1450"/>
            <w:vAlign w:val="center"/>
            <w:tcMar>
              <w:top w:w="80" w:type="dxa"/>
              <w:start w:w="120" w:type="dxa"/>
              <w:bottom w:w="80" w:type="dxa"/>
              <w:end w:w="120" w:type="dxa"/>
            </w:tcMar>
          </w:tcPr>
          <w:p>
            <w:r>
              <w:t>0.00-1.00</w:t>
            </w:r>
          </w:p>
        </w:tc>
        <w:tc>
          <w:tcPr>
            <w:tcW w:type="dxa" w:w="5560"/>
            <w:vAlign w:val="center"/>
            <w:tcMar>
              <w:top w:w="80" w:type="dxa"/>
              <w:start w:w="120" w:type="dxa"/>
              <w:bottom w:w="80" w:type="dxa"/>
              <w:end w:w="120" w:type="dxa"/>
            </w:tcMar>
          </w:tcPr>
          <w:p>
            <w:r>
              <w:t>Clarity, specificity, authenticity and reproducibility of the artifact.</w:t>
            </w:r>
          </w:p>
        </w:tc>
      </w:tr>
      <w:tr>
        <w:tc>
          <w:tcPr>
            <w:tcW w:type="dxa" w:w="2350"/>
            <w:vAlign w:val="center"/>
            <w:tcMar>
              <w:top w:w="80" w:type="dxa"/>
              <w:start w:w="120" w:type="dxa"/>
              <w:bottom w:w="80" w:type="dxa"/>
              <w:end w:w="120" w:type="dxa"/>
            </w:tcMar>
          </w:tcPr>
          <w:p>
            <w:r>
              <w:t>novelty_signal</w:t>
            </w:r>
          </w:p>
        </w:tc>
        <w:tc>
          <w:tcPr>
            <w:tcW w:type="dxa" w:w="1450"/>
            <w:vAlign w:val="center"/>
            <w:tcMar>
              <w:top w:w="80" w:type="dxa"/>
              <w:start w:w="120" w:type="dxa"/>
              <w:bottom w:w="80" w:type="dxa"/>
              <w:end w:w="120" w:type="dxa"/>
            </w:tcMar>
          </w:tcPr>
          <w:p>
            <w:r>
              <w:t>enum plus evidence refs</w:t>
            </w:r>
          </w:p>
        </w:tc>
        <w:tc>
          <w:tcPr>
            <w:tcW w:type="dxa" w:w="5560"/>
            <w:vAlign w:val="center"/>
            <w:tcMar>
              <w:top w:w="80" w:type="dxa"/>
              <w:start w:w="120" w:type="dxa"/>
              <w:bottom w:w="80" w:type="dxa"/>
              <w:end w:w="120" w:type="dxa"/>
            </w:tcMar>
          </w:tcPr>
          <w:p>
            <w:r>
              <w:t>Facts needed for the Java engine to compare against historical activities.</w:t>
            </w:r>
          </w:p>
        </w:tc>
      </w:tr>
      <w:tr>
        <w:tc>
          <w:tcPr>
            <w:tcW w:type="dxa" w:w="2350"/>
            <w:vAlign w:val="center"/>
            <w:tcMar>
              <w:top w:w="80" w:type="dxa"/>
              <w:start w:w="120" w:type="dxa"/>
              <w:bottom w:w="80" w:type="dxa"/>
              <w:end w:w="120" w:type="dxa"/>
            </w:tcMar>
          </w:tcPr>
          <w:p>
            <w:r>
              <w:t>assessment_confidence</w:t>
            </w:r>
          </w:p>
        </w:tc>
        <w:tc>
          <w:tcPr>
            <w:tcW w:type="dxa" w:w="1450"/>
            <w:vAlign w:val="center"/>
            <w:tcMar>
              <w:top w:w="80" w:type="dxa"/>
              <w:start w:w="120" w:type="dxa"/>
              <w:bottom w:w="80" w:type="dxa"/>
              <w:end w:w="120" w:type="dxa"/>
            </w:tcMar>
          </w:tcPr>
          <w:p>
            <w:r>
              <w:t>0.00-1.00</w:t>
            </w:r>
          </w:p>
        </w:tc>
        <w:tc>
          <w:tcPr>
            <w:tcW w:type="dxa" w:w="5560"/>
            <w:vAlign w:val="center"/>
            <w:tcMar>
              <w:top w:w="80" w:type="dxa"/>
              <w:start w:w="120" w:type="dxa"/>
              <w:bottom w:w="80" w:type="dxa"/>
              <w:end w:w="120" w:type="dxa"/>
            </w:tcMar>
          </w:tcPr>
          <w:p>
            <w:r>
              <w:t>How confident the extraction LLM is in this field, not profile confidence.</w:t>
            </w:r>
          </w:p>
        </w:tc>
      </w:tr>
    </w:tbl>
    <w:p>
      <w:pPr>
        <w:pStyle w:val="ListBullet"/>
      </w:pPr>
      <w:r>
        <w:t>Participation alone does not imply completion.</w:t>
      </w:r>
    </w:p>
    <w:p>
      <w:pPr>
        <w:pStyle w:val="ListBullet"/>
      </w:pPr>
      <w:r>
        <w:t>Team membership alone does not imply ownership of the most difficult work.</w:t>
      </w:r>
    </w:p>
    <w:p>
      <w:pPr>
        <w:pStyle w:val="ListBullet"/>
      </w:pPr>
      <w:r>
        <w:t>Certificates prove a result within their tested scope, not broad mastery of an entire profession.</w:t>
      </w:r>
    </w:p>
    <w:p>
      <w:pPr>
        <w:pStyle w:val="ListBullet"/>
      </w:pPr>
      <w:r>
        <w:t>Duration is supporting evidence, not a linear score multiplier.</w:t>
      </w:r>
    </w:p>
    <w:p>
      <w:pPr>
        <w:pStyle w:val="ListBullet"/>
      </w:pPr>
      <w:r>
        <w:t>The strongest reliable artifact may anchor evidence quality, but unclear personal contribution must be represented separately.</w:t>
      </w:r>
    </w:p>
    <w:p>
      <w:pPr>
        <w:pStyle w:val="ListBullet"/>
      </w:pPr>
      <w:r>
        <w:t>Repeated low-level work must receive diminishing returns through deterministic history comparison.</w:t>
      </w:r>
    </w:p>
    <w:p>
      <w:pPr>
        <w:pStyle w:val="Heading1"/>
      </w:pPr>
      <w:r>
        <w:t>8. Difficulty-Match Semantics</w:t>
      </w:r>
    </w:p>
    <w:p>
      <w:r>
        <w:t>The Evidence Assessment LLM estimates activity_difficulty. The Java engine calculates difficulty_diff = activity_difficulty - ability_score and applies the versioned multiplier.</w:t>
      </w:r>
    </w:p>
    <w:tbl>
      <w:tblPr>
        <w:tblStyle w:val="TableGrid"/>
        <w:tblW w:type="dxa" w:w="9360"/>
        <w:jc w:val="center"/>
        <w:tblLayout w:type="fixed"/>
        <w:tblLook w:firstColumn="1" w:firstRow="1" w:lastColumn="0" w:lastRow="0" w:noHBand="0" w:noVBand="1" w:val="04A0"/>
        <w:tblInd w:w="120" w:type="dxa"/>
      </w:tblPr>
      <w:tblGrid>
        <w:gridCol w:w="2700"/>
        <w:gridCol w:w="4160"/>
        <w:gridCol w:w="2500"/>
      </w:tblGrid>
      <w:tr>
        <w:trPr>
          <w:tblHeader w:val="true"/>
        </w:trPr>
        <w:tc>
          <w:tcPr>
            <w:tcW w:type="dxa" w:w="2700"/>
            <w:shd w:fill="E8EEF5"/>
            <w:vAlign w:val="center"/>
            <w:tcMar>
              <w:top w:w="80" w:type="dxa"/>
              <w:start w:w="120" w:type="dxa"/>
              <w:bottom w:w="80" w:type="dxa"/>
              <w:end w:w="120" w:type="dxa"/>
            </w:tcMar>
          </w:tcPr>
          <w:p>
            <w:r>
              <w:rPr>
                <w:b/>
                <w:color w:val="1F4D78"/>
              </w:rPr>
              <w:t>Difficulty difference</w:t>
            </w:r>
          </w:p>
        </w:tc>
        <w:tc>
          <w:tcPr>
            <w:tcW w:type="dxa" w:w="4160"/>
            <w:shd w:fill="E8EEF5"/>
            <w:vAlign w:val="center"/>
            <w:tcMar>
              <w:top w:w="80" w:type="dxa"/>
              <w:start w:w="120" w:type="dxa"/>
              <w:bottom w:w="80" w:type="dxa"/>
              <w:end w:w="120" w:type="dxa"/>
            </w:tcMar>
          </w:tcPr>
          <w:p>
            <w:r>
              <w:rPr>
                <w:b/>
                <w:color w:val="1F4D78"/>
              </w:rPr>
              <w:t>Meaning</w:t>
            </w:r>
          </w:p>
        </w:tc>
        <w:tc>
          <w:tcPr>
            <w:tcW w:type="dxa" w:w="2500"/>
            <w:shd w:fill="E8EEF5"/>
            <w:vAlign w:val="center"/>
            <w:tcMar>
              <w:top w:w="80" w:type="dxa"/>
              <w:start w:w="120" w:type="dxa"/>
              <w:bottom w:w="80" w:type="dxa"/>
              <w:end w:w="120" w:type="dxa"/>
            </w:tcMar>
          </w:tcPr>
          <w:p>
            <w:r>
              <w:rPr>
                <w:b/>
                <w:color w:val="1F4D78"/>
              </w:rPr>
              <w:t>Default multiplier</w:t>
            </w:r>
          </w:p>
        </w:tc>
      </w:tr>
      <w:tr>
        <w:tc>
          <w:tcPr>
            <w:tcW w:type="dxa" w:w="2700"/>
            <w:vAlign w:val="center"/>
            <w:tcMar>
              <w:top w:w="80" w:type="dxa"/>
              <w:start w:w="120" w:type="dxa"/>
              <w:bottom w:w="80" w:type="dxa"/>
              <w:end w:w="120" w:type="dxa"/>
            </w:tcMar>
          </w:tcPr>
          <w:p>
            <w:r>
              <w:t>diff &lt;= -40</w:t>
            </w:r>
          </w:p>
        </w:tc>
        <w:tc>
          <w:tcPr>
            <w:tcW w:type="dxa" w:w="4160"/>
            <w:vAlign w:val="center"/>
            <w:tcMar>
              <w:top w:w="80" w:type="dxa"/>
              <w:start w:w="120" w:type="dxa"/>
              <w:bottom w:w="80" w:type="dxa"/>
              <w:end w:w="120" w:type="dxa"/>
            </w:tcMar>
          </w:tcPr>
          <w:p>
            <w:r>
              <w:t>Far below current ability</w:t>
            </w:r>
          </w:p>
        </w:tc>
        <w:tc>
          <w:tcPr>
            <w:tcW w:type="dxa" w:w="2500"/>
            <w:vAlign w:val="center"/>
            <w:tcMar>
              <w:top w:w="80" w:type="dxa"/>
              <w:start w:w="120" w:type="dxa"/>
              <w:bottom w:w="80" w:type="dxa"/>
              <w:end w:w="120" w:type="dxa"/>
            </w:tcMar>
          </w:tcPr>
          <w:p>
            <w:r>
              <w:t>0.05</w:t>
            </w:r>
          </w:p>
        </w:tc>
      </w:tr>
      <w:tr>
        <w:tc>
          <w:tcPr>
            <w:tcW w:type="dxa" w:w="2700"/>
            <w:vAlign w:val="center"/>
            <w:tcMar>
              <w:top w:w="80" w:type="dxa"/>
              <w:start w:w="120" w:type="dxa"/>
              <w:bottom w:w="80" w:type="dxa"/>
              <w:end w:w="120" w:type="dxa"/>
            </w:tcMar>
          </w:tcPr>
          <w:p>
            <w:r>
              <w:t>-40 &lt; diff &lt;= -20</w:t>
            </w:r>
          </w:p>
        </w:tc>
        <w:tc>
          <w:tcPr>
            <w:tcW w:type="dxa" w:w="4160"/>
            <w:vAlign w:val="center"/>
            <w:tcMar>
              <w:top w:w="80" w:type="dxa"/>
              <w:start w:w="120" w:type="dxa"/>
              <w:bottom w:w="80" w:type="dxa"/>
              <w:end w:w="120" w:type="dxa"/>
            </w:tcMar>
          </w:tcPr>
          <w:p>
            <w:r>
              <w:t>Easy</w:t>
            </w:r>
          </w:p>
        </w:tc>
        <w:tc>
          <w:tcPr>
            <w:tcW w:type="dxa" w:w="2500"/>
            <w:vAlign w:val="center"/>
            <w:tcMar>
              <w:top w:w="80" w:type="dxa"/>
              <w:start w:w="120" w:type="dxa"/>
              <w:bottom w:w="80" w:type="dxa"/>
              <w:end w:w="120" w:type="dxa"/>
            </w:tcMar>
          </w:tcPr>
          <w:p>
            <w:r>
              <w:t>0.20</w:t>
            </w:r>
          </w:p>
        </w:tc>
      </w:tr>
      <w:tr>
        <w:tc>
          <w:tcPr>
            <w:tcW w:type="dxa" w:w="2700"/>
            <w:vAlign w:val="center"/>
            <w:tcMar>
              <w:top w:w="80" w:type="dxa"/>
              <w:start w:w="120" w:type="dxa"/>
              <w:bottom w:w="80" w:type="dxa"/>
              <w:end w:w="120" w:type="dxa"/>
            </w:tcMar>
          </w:tcPr>
          <w:p>
            <w:r>
              <w:t>-20 &lt; diff &lt;= -5</w:t>
            </w:r>
          </w:p>
        </w:tc>
        <w:tc>
          <w:tcPr>
            <w:tcW w:type="dxa" w:w="4160"/>
            <w:vAlign w:val="center"/>
            <w:tcMar>
              <w:top w:w="80" w:type="dxa"/>
              <w:start w:w="120" w:type="dxa"/>
              <w:bottom w:w="80" w:type="dxa"/>
              <w:end w:w="120" w:type="dxa"/>
            </w:tcMar>
          </w:tcPr>
          <w:p>
            <w:r>
              <w:t>Slightly easy</w:t>
            </w:r>
          </w:p>
        </w:tc>
        <w:tc>
          <w:tcPr>
            <w:tcW w:type="dxa" w:w="2500"/>
            <w:vAlign w:val="center"/>
            <w:tcMar>
              <w:top w:w="80" w:type="dxa"/>
              <w:start w:w="120" w:type="dxa"/>
              <w:bottom w:w="80" w:type="dxa"/>
              <w:end w:w="120" w:type="dxa"/>
            </w:tcMar>
          </w:tcPr>
          <w:p>
            <w:r>
              <w:t>0.50</w:t>
            </w:r>
          </w:p>
        </w:tc>
      </w:tr>
      <w:tr>
        <w:tc>
          <w:tcPr>
            <w:tcW w:type="dxa" w:w="2700"/>
            <w:vAlign w:val="center"/>
            <w:tcMar>
              <w:top w:w="80" w:type="dxa"/>
              <w:start w:w="120" w:type="dxa"/>
              <w:bottom w:w="80" w:type="dxa"/>
              <w:end w:w="120" w:type="dxa"/>
            </w:tcMar>
          </w:tcPr>
          <w:p>
            <w:r>
              <w:t>-5 &lt; diff &lt;= 10</w:t>
            </w:r>
          </w:p>
        </w:tc>
        <w:tc>
          <w:tcPr>
            <w:tcW w:type="dxa" w:w="4160"/>
            <w:vAlign w:val="center"/>
            <w:tcMar>
              <w:top w:w="80" w:type="dxa"/>
              <w:start w:w="120" w:type="dxa"/>
              <w:bottom w:w="80" w:type="dxa"/>
              <w:end w:w="120" w:type="dxa"/>
            </w:tcMar>
          </w:tcPr>
          <w:p>
            <w:r>
              <w:t>Well matched</w:t>
            </w:r>
          </w:p>
        </w:tc>
        <w:tc>
          <w:tcPr>
            <w:tcW w:type="dxa" w:w="2500"/>
            <w:vAlign w:val="center"/>
            <w:tcMar>
              <w:top w:w="80" w:type="dxa"/>
              <w:start w:w="120" w:type="dxa"/>
              <w:bottom w:w="80" w:type="dxa"/>
              <w:end w:w="120" w:type="dxa"/>
            </w:tcMar>
          </w:tcPr>
          <w:p>
            <w:r>
              <w:t>1.00</w:t>
            </w:r>
          </w:p>
        </w:tc>
      </w:tr>
      <w:tr>
        <w:tc>
          <w:tcPr>
            <w:tcW w:type="dxa" w:w="2700"/>
            <w:vAlign w:val="center"/>
            <w:tcMar>
              <w:top w:w="80" w:type="dxa"/>
              <w:start w:w="120" w:type="dxa"/>
              <w:bottom w:w="80" w:type="dxa"/>
              <w:end w:w="120" w:type="dxa"/>
            </w:tcMar>
          </w:tcPr>
          <w:p>
            <w:r>
              <w:t>10 &lt; diff &lt;= 25</w:t>
            </w:r>
          </w:p>
        </w:tc>
        <w:tc>
          <w:tcPr>
            <w:tcW w:type="dxa" w:w="4160"/>
            <w:vAlign w:val="center"/>
            <w:tcMar>
              <w:top w:w="80" w:type="dxa"/>
              <w:start w:w="120" w:type="dxa"/>
              <w:bottom w:w="80" w:type="dxa"/>
              <w:end w:w="120" w:type="dxa"/>
            </w:tcMar>
          </w:tcPr>
          <w:p>
            <w:r>
              <w:t>Productive challenge</w:t>
            </w:r>
          </w:p>
        </w:tc>
        <w:tc>
          <w:tcPr>
            <w:tcW w:type="dxa" w:w="2500"/>
            <w:vAlign w:val="center"/>
            <w:tcMar>
              <w:top w:w="80" w:type="dxa"/>
              <w:start w:w="120" w:type="dxa"/>
              <w:bottom w:w="80" w:type="dxa"/>
              <w:end w:w="120" w:type="dxa"/>
            </w:tcMar>
          </w:tcPr>
          <w:p>
            <w:r>
              <w:t>1.20</w:t>
            </w:r>
          </w:p>
        </w:tc>
      </w:tr>
      <w:tr>
        <w:tc>
          <w:tcPr>
            <w:tcW w:type="dxa" w:w="2700"/>
            <w:vAlign w:val="center"/>
            <w:tcMar>
              <w:top w:w="80" w:type="dxa"/>
              <w:start w:w="120" w:type="dxa"/>
              <w:bottom w:w="80" w:type="dxa"/>
              <w:end w:w="120" w:type="dxa"/>
            </w:tcMar>
          </w:tcPr>
          <w:p>
            <w:r>
              <w:t>25 &lt; diff &lt;= 40</w:t>
            </w:r>
          </w:p>
        </w:tc>
        <w:tc>
          <w:tcPr>
            <w:tcW w:type="dxa" w:w="4160"/>
            <w:vAlign w:val="center"/>
            <w:tcMar>
              <w:top w:w="80" w:type="dxa"/>
              <w:start w:w="120" w:type="dxa"/>
              <w:bottom w:w="80" w:type="dxa"/>
              <w:end w:w="120" w:type="dxa"/>
            </w:tcMar>
          </w:tcPr>
          <w:p>
            <w:r>
              <w:t>Very challenging and uncertain</w:t>
            </w:r>
          </w:p>
        </w:tc>
        <w:tc>
          <w:tcPr>
            <w:tcW w:type="dxa" w:w="2500"/>
            <w:vAlign w:val="center"/>
            <w:tcMar>
              <w:top w:w="80" w:type="dxa"/>
              <w:start w:w="120" w:type="dxa"/>
              <w:bottom w:w="80" w:type="dxa"/>
              <w:end w:w="120" w:type="dxa"/>
            </w:tcMar>
          </w:tcPr>
          <w:p>
            <w:r>
              <w:t>0.75</w:t>
            </w:r>
          </w:p>
        </w:tc>
      </w:tr>
      <w:tr>
        <w:tc>
          <w:tcPr>
            <w:tcW w:type="dxa" w:w="2700"/>
            <w:vAlign w:val="center"/>
            <w:tcMar>
              <w:top w:w="80" w:type="dxa"/>
              <w:start w:w="120" w:type="dxa"/>
              <w:bottom w:w="80" w:type="dxa"/>
              <w:end w:w="120" w:type="dxa"/>
            </w:tcMar>
          </w:tcPr>
          <w:p>
            <w:r>
              <w:t>diff &gt; 40</w:t>
            </w:r>
          </w:p>
        </w:tc>
        <w:tc>
          <w:tcPr>
            <w:tcW w:type="dxa" w:w="4160"/>
            <w:vAlign w:val="center"/>
            <w:tcMar>
              <w:top w:w="80" w:type="dxa"/>
              <w:start w:w="120" w:type="dxa"/>
              <w:bottom w:w="80" w:type="dxa"/>
              <w:end w:w="120" w:type="dxa"/>
            </w:tcMar>
          </w:tcPr>
          <w:p>
            <w:r>
              <w:t>Potentially implausible or poorly calibrated</w:t>
            </w:r>
          </w:p>
        </w:tc>
        <w:tc>
          <w:tcPr>
            <w:tcW w:type="dxa" w:w="2500"/>
            <w:vAlign w:val="center"/>
            <w:tcMar>
              <w:top w:w="80" w:type="dxa"/>
              <w:start w:w="120" w:type="dxa"/>
              <w:bottom w:w="80" w:type="dxa"/>
              <w:end w:w="120" w:type="dxa"/>
            </w:tcMar>
          </w:tcPr>
          <w:p>
            <w:r>
              <w:t>0.30 plus Judge review</w:t>
            </w:r>
          </w:p>
        </w:tc>
      </w:tr>
    </w:tbl>
    <w:p>
      <w:r>
        <w:t>The multiplier table is a starting configuration. It must be calibrated with a labeled evaluation set before production use. The model must not assume that the hardest activity always creates the most growth.</w:t>
      </w:r>
    </w:p>
    <w:p>
      <w:pPr>
        <w:pStyle w:val="Heading1"/>
      </w:pPr>
      <w:r>
        <w:t>9. Input Contract</w:t>
      </w:r>
    </w:p>
    <w:p>
      <w:pPr>
        <w:pStyle w:val="CodeBlock"/>
        <w:shd w:fill="F2F4F7"/>
      </w:pPr>
      <w:r>
        <w:t>{</w:t>
        <w:br/>
        <w:t xml:space="preserve">  "request_id": "uuid",</w:t>
        <w:br/>
        <w:t xml:space="preserve">  "user_id": "string",</w:t>
        <w:br/>
        <w:t xml:space="preserve">  "target_dimensions": ["Java", "Spring Boot"],</w:t>
        <w:br/>
        <w:t xml:space="preserve">  "current_state": {</w:t>
        <w:br/>
        <w:t xml:space="preserve">    "ability_by_dimension": {</w:t>
        <w:br/>
        <w:t xml:space="preserve">      "Java": {</w:t>
        <w:br/>
        <w:t xml:space="preserve">        "ability_score": 58.0,</w:t>
        <w:br/>
        <w:t xml:space="preserve">        "experience_score": 143.5,</w:t>
        <w:br/>
        <w:t xml:space="preserve">        "ability_uncertainty": 0.32,</w:t>
        <w:br/>
        <w:t xml:space="preserve">        "rank": "beginner_plus"</w:t>
        <w:br/>
        <w:t xml:space="preserve">      }</w:t>
        <w:br/>
        <w:t xml:space="preserve">    },</w:t>
        <w:br/>
        <w:t xml:space="preserve">    "profile_confidence": 0.50,</w:t>
        <w:br/>
        <w:t xml:space="preserve">    "recent_evidence_summary": []</w:t>
        <w:br/>
        <w:t xml:space="preserve">  },</w:t>
        <w:br/>
        <w:t xml:space="preserve">  "activity": {</w:t>
        <w:br/>
        <w:t xml:space="preserve">    "activity_id": "string",</w:t>
        <w:br/>
        <w:t xml:space="preserve">    "title": "string",</w:t>
        <w:br/>
        <w:t xml:space="preserve">    "description": "string",</w:t>
        <w:br/>
        <w:t xml:space="preserve">    "activity_type": "project | contest | course | exam | practice | work | certificate | self_report | other",</w:t>
        <w:br/>
        <w:t xml:space="preserve">    "claimed_role": "string",</w:t>
        <w:br/>
        <w:t xml:space="preserve">    "duration_hours": 0,</w:t>
        <w:br/>
        <w:t xml:space="preserve">    "completion_status": "completed | partial | failed | unknown",</w:t>
        <w:br/>
        <w:t xml:space="preserve">    "source": {</w:t>
        <w:br/>
        <w:t xml:space="preserve">      "source_type": "self_report | public_repo | school | company | contest_platform | certificate_authority | third_party | other",</w:t>
        <w:br/>
        <w:t xml:space="preserve">      "source_name": "string",</w:t>
        <w:br/>
        <w:t xml:space="preserve">      "source_reference": "string"</w:t>
        <w:br/>
        <w:t xml:space="preserve">    },</w:t>
        <w:br/>
        <w:t xml:space="preserve">    "evidence": [],</w:t>
        <w:br/>
        <w:t xml:space="preserve">    "user_reflection": {</w:t>
        <w:br/>
        <w:t xml:space="preserve">      "did": "string",</w:t>
        <w:br/>
        <w:t xml:space="preserve">      "learned": "string"</w:t>
        <w:br/>
        <w:t xml:space="preserve">    }</w:t>
        <w:br/>
        <w:t xml:space="preserve">  },</w:t>
        <w:br/>
        <w:t xml:space="preserve">  "audit": {</w:t>
        <w:br/>
        <w:t xml:space="preserve">    "rubric_version": "irt-evidence-v2",</w:t>
        <w:br/>
        <w:t xml:space="preserve">    "evidence_hash": "sha256",</w:t>
        <w:br/>
        <w:t xml:space="preserve">    "locale": "zh-CN"</w:t>
        <w:br/>
        <w:t xml:space="preserve">  }</w:t>
        <w:br/>
        <w:t>}</w:t>
      </w:r>
    </w:p>
    <w:p>
      <w:pPr>
        <w:pStyle w:val="ListBullet"/>
      </w:pPr>
      <w:r>
        <w:t>User-provided source_credibility, evidence_quality, score_delta, and profile_confidence updates are not accepted.</w:t>
      </w:r>
    </w:p>
    <w:p>
      <w:pPr>
        <w:pStyle w:val="ListBullet"/>
      </w:pPr>
      <w:r>
        <w:t>The server supplies current scores, history summaries, source mappings, and rubric version.</w:t>
      </w:r>
    </w:p>
    <w:p>
      <w:pPr>
        <w:pStyle w:val="ListBullet"/>
      </w:pPr>
      <w:r>
        <w:t>Raw URLs or private artifacts must be handled according to the project's privacy policy before being sent to an external model.</w:t>
      </w:r>
    </w:p>
    <w:p>
      <w:pPr>
        <w:pStyle w:val="Heading1"/>
      </w:pPr>
      <w:r>
        <w:t>10. LLM Output Contract</w:t>
      </w:r>
    </w:p>
    <w:p>
      <w:r>
        <w:t>The LLM returns only a structured evidence assessment. It must not return old_score, delta, new_score, rank promotion, confidence multiplier, or any final scoring calculation.</w:t>
      </w:r>
    </w:p>
    <w:p>
      <w:pPr>
        <w:pStyle w:val="CodeBlock"/>
        <w:shd w:fill="F2F4F7"/>
      </w:pPr>
      <w:r>
        <w:t>{</w:t>
        <w:br/>
        <w:t xml:space="preserve">  "request_id": "uuid",</w:t>
        <w:br/>
        <w:t xml:space="preserve">  "activity_id": "string",</w:t>
        <w:br/>
        <w:t xml:space="preserve">  "normalized_activity_type": "project",</w:t>
        <w:br/>
        <w:t xml:space="preserve">  "assessment": {</w:t>
        <w:br/>
        <w:t xml:space="preserve">    "activity_difficulty": {</w:t>
        <w:br/>
        <w:t xml:space="preserve">      "value": 65,</w:t>
        <w:br/>
        <w:t xml:space="preserve">      "confidence": 0.78,</w:t>
        <w:br/>
        <w:t xml:space="preserve">      "evidence_refs": ["repo-1", "reflection-1"],</w:t>
        <w:br/>
        <w:t xml:space="preserve">      "reason": "Implemented a complete cache protection path."</w:t>
        <w:br/>
        <w:t xml:space="preserve">    },</w:t>
        <w:br/>
        <w:t xml:space="preserve">    "completion_quality": {</w:t>
        <w:br/>
        <w:t xml:space="preserve">      "value": 0.80,</w:t>
        <w:br/>
        <w:t xml:space="preserve">      "confidence": 0.74,</w:t>
        <w:br/>
        <w:t xml:space="preserve">      "evidence_refs": ["demo-1", "test-1"]</w:t>
        <w:br/>
        <w:t xml:space="preserve">    },</w:t>
        <w:br/>
        <w:t xml:space="preserve">    "personal_contribution": {</w:t>
        <w:br/>
        <w:t xml:space="preserve">      "value": 0.90,</w:t>
        <w:br/>
        <w:t xml:space="preserve">      "confidence": 0.82,</w:t>
        <w:br/>
        <w:t xml:space="preserve">      "evidence_refs": ["commit-history-1"]</w:t>
        <w:br/>
        <w:t xml:space="preserve">    },</w:t>
        <w:br/>
        <w:t xml:space="preserve">    "dimensions": [</w:t>
        <w:br/>
        <w:t xml:space="preserve">      {</w:t>
        <w:br/>
        <w:t xml:space="preserve">        "dimension": "Redis",</w:t>
        <w:br/>
        <w:t xml:space="preserve">        "relevance": 0.92,</w:t>
        <w:br/>
        <w:t xml:space="preserve">        "confidence": 0.88,</w:t>
        <w:br/>
        <w:t xml:space="preserve">        "claimed_outcome": "Cache penetration protection",</w:t>
        <w:br/>
        <w:t xml:space="preserve">        "evidence_refs": ["repo-1", "test-1"]</w:t>
        <w:br/>
        <w:t xml:space="preserve">      }</w:t>
        <w:br/>
        <w:t xml:space="preserve">    ],</w:t>
        <w:br/>
        <w:t xml:space="preserve">    "evidence_findings": [</w:t>
        <w:br/>
        <w:t xml:space="preserve">      {</w:t>
        <w:br/>
        <w:t xml:space="preserve">        "evidence_id": "repo-1",</w:t>
        <w:br/>
        <w:t xml:space="preserve">        "evidence_type": "code_repo",</w:t>
        <w:br/>
        <w:t xml:space="preserve">        "quality": 0.78,</w:t>
        <w:br/>
        <w:t xml:space="preserve">        "verification_status": "partially_verified",</w:t>
        <w:br/>
        <w:t xml:space="preserve">        "supports": ["completion", "personal_contribution"]</w:t>
        <w:br/>
        <w:t xml:space="preserve">      }</w:t>
        <w:br/>
        <w:t xml:space="preserve">    ],</w:t>
        <w:br/>
        <w:t xml:space="preserve">    "novelty_features": {</w:t>
        <w:br/>
        <w:t xml:space="preserve">      "activity_family": "redis-cache-reliability",</w:t>
        <w:br/>
        <w:t xml:space="preserve">      "techniques": ["bloom-filter", "null-value-cache"],</w:t>
        <w:br/>
        <w:t xml:space="preserve">      "difficulty_band": "intermediate"</w:t>
        <w:br/>
        <w:t xml:space="preserve">    }</w:t>
        <w:br/>
        <w:t xml:space="preserve">  },</w:t>
        <w:br/>
        <w:t xml:space="preserve">  "risk_flags": [],</w:t>
        <w:br/>
        <w:t xml:space="preserve">  "judge_recommendation": {</w:t>
        <w:br/>
        <w:t xml:space="preserve">    "suggest_review": false,</w:t>
        <w:br/>
        <w:t xml:space="preserve">    "reasons": []</w:t>
        <w:br/>
        <w:t xml:space="preserve">  },</w:t>
        <w:br/>
        <w:t xml:space="preserve">  "audit": {</w:t>
        <w:br/>
        <w:t xml:space="preserve">    "prompt_version": "irt-evidence-v2",</w:t>
        <w:br/>
        <w:t xml:space="preserve">    "model_name": "string",</w:t>
        <w:br/>
        <w:t xml:space="preserve">    "evidence_hash": "sha256"</w:t>
        <w:br/>
        <w:t xml:space="preserve">  }</w:t>
        <w:br/>
        <w:t>}</w:t>
      </w:r>
    </w:p>
    <w:p>
      <w:pPr>
        <w:pStyle w:val="Heading1"/>
      </w:pPr>
      <w:r>
        <w:t>11. Deterministic Scoring Engine Contract</w:t>
      </w:r>
    </w:p>
    <w:p>
      <w:pPr>
        <w:pStyle w:val="ListNumber"/>
      </w:pPr>
      <w:r>
        <w:t>Validate the LLM JSON against a strict schema and reject unknown or out-of-range numeric values.</w:t>
      </w:r>
    </w:p>
    <w:p>
      <w:pPr>
        <w:pStyle w:val="ListNumber"/>
      </w:pPr>
      <w:r>
        <w:t>Resolve source credibility from versioned server-side configuration.</w:t>
      </w:r>
    </w:p>
    <w:p>
      <w:pPr>
        <w:pStyle w:val="ListNumber"/>
      </w:pPr>
      <w:r>
        <w:t>Calculate novelty by comparing the activity family, techniques, difficulty band, and evidence hash with stored history.</w:t>
      </w:r>
    </w:p>
    <w:p>
      <w:pPr>
        <w:pStyle w:val="ListNumber"/>
      </w:pPr>
      <w:r>
        <w:t>Calculate growth value from difficulty match, completion quality, personal contribution, dimension relevance, and novelty.</w:t>
      </w:r>
    </w:p>
    <w:p>
      <w:pPr>
        <w:pStyle w:val="ListNumber"/>
      </w:pPr>
      <w:r>
        <w:t>Calculate verification strength from source prior, evidence quality, contribution clarity, and consistency checks without blindly multiplying correlated factors.</w:t>
      </w:r>
    </w:p>
    <w:p>
      <w:pPr>
        <w:pStyle w:val="ListNumber"/>
      </w:pPr>
      <w:r>
        <w:t>Apply the narrow profile-confidence multiplier.</w:t>
      </w:r>
    </w:p>
    <w:p>
      <w:pPr>
        <w:pStyle w:val="ListNumber"/>
      </w:pPr>
      <w:r>
        <w:t>Calculate provisional experience gain and verified experience gain.</w:t>
      </w:r>
    </w:p>
    <w:p>
      <w:pPr>
        <w:pStyle w:val="ListNumber"/>
      </w:pPr>
      <w:r>
        <w:t>Update bounded ability_score using a saturating or calibrated function; do not raw-sum activity deltas.</w:t>
      </w:r>
    </w:p>
    <w:p>
      <w:pPr>
        <w:pStyle w:val="ListNumber"/>
      </w:pPr>
      <w:r>
        <w:t>Update ability_uncertainty from the amount and independence of verified evidence.</w:t>
      </w:r>
    </w:p>
    <w:p>
      <w:pPr>
        <w:pStyle w:val="ListNumber"/>
      </w:pPr>
      <w:r>
        <w:t>Persist every input factor, rule version, intermediate value, final value, and Judge trigger.</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4EC"/>
          </w:tcPr>
          <w:p>
            <w:pPr>
              <w:spacing w:after="60"/>
            </w:pPr>
            <w:r>
              <w:rPr>
                <w:rFonts w:ascii="Calibri" w:hAnsi="Calibri"/>
                <w:b/>
                <w:color w:val="1F4D78"/>
                <w:sz w:val="22"/>
              </w:rPr>
              <w:t>Reproducibility requirement</w:t>
            </w:r>
          </w:p>
          <w:p>
            <w:pPr>
              <w:spacing w:after="0"/>
            </w:pPr>
            <w:r>
              <w:t>For the same validated assessment, history snapshot, and scoring-rule version, the Java engine must return exactly the same result. The LLM response should be cached or deduplicated by evidence_hash + prompt_version + model_name so retries do not silently create a new interpretation.</w:t>
            </w:r>
          </w:p>
        </w:tc>
      </w:tr>
    </w:tbl>
    <w:p>
      <w:pPr>
        <w:pStyle w:val="Heading1"/>
      </w:pPr>
      <w:r>
        <w:t>12. Judge Review Triggers</w:t>
      </w:r>
    </w:p>
    <w:p>
      <w:pPr>
        <w:pStyle w:val="ListBullet"/>
      </w:pPr>
      <w:r>
        <w:t>The activity is more than 40 difficulty points above the current ability estimate.</w:t>
      </w:r>
    </w:p>
    <w:p>
      <w:pPr>
        <w:pStyle w:val="ListBullet"/>
      </w:pPr>
      <w:r>
        <w:t>The calculated gain is close to the configured maximum single-activity gain.</w:t>
      </w:r>
    </w:p>
    <w:p>
      <w:pPr>
        <w:pStyle w:val="ListBullet"/>
      </w:pPr>
      <w:r>
        <w:t>The claim is strong while evidence quality or source verifiability is weak.</w:t>
      </w:r>
    </w:p>
    <w:p>
      <w:pPr>
        <w:pStyle w:val="ListBullet"/>
      </w:pPr>
      <w:r>
        <w:t>Team contribution is unclear but the claimed outcome is large.</w:t>
      </w:r>
    </w:p>
    <w:p>
      <w:pPr>
        <w:pStyle w:val="ListBullet"/>
      </w:pPr>
      <w:r>
        <w:t>The user repeats highly similar activities in a pattern consistent with score farming.</w:t>
      </w:r>
    </w:p>
    <w:p>
      <w:pPr>
        <w:pStyle w:val="ListBullet"/>
      </w:pPr>
      <w:r>
        <w:t>The update crosses a configured rank-promotion threshold.</w:t>
      </w:r>
    </w:p>
    <w:p>
      <w:pPr>
        <w:pStyle w:val="ListBullet"/>
      </w:pPr>
      <w:r>
        <w:t>The activity would unlock a professional title, verified badge, or employer-facing claim.</w:t>
      </w:r>
    </w:p>
    <w:p>
      <w:pPr>
        <w:pStyle w:val="ListBullet"/>
      </w:pPr>
      <w:r>
        <w:t>The profile confidence is low while the activity claim is unusually strong.</w:t>
      </w:r>
    </w:p>
    <w:p>
      <w:pPr>
        <w:pStyle w:val="ListBullet"/>
      </w:pPr>
      <w:r>
        <w:t>The LLM extraction confidence is below the configured minimum for a high-impact field.</w:t>
      </w:r>
    </w:p>
    <w:p>
      <w:r>
        <w:t>A trigger creates a review task. It does not automatically reject the activity. Judge questions should target the claimed skills and evidence gaps, and the grading rubric must be versioned.</w:t>
      </w:r>
    </w:p>
    <w:p>
      <w:pPr>
        <w:pStyle w:val="Heading1"/>
      </w:pPr>
      <w:r>
        <w:t>13. Fairness and Anti-Gaming Requirements</w:t>
      </w:r>
    </w:p>
    <w:p>
      <w:pPr>
        <w:pStyle w:val="ListBullet"/>
      </w:pPr>
      <w:r>
        <w:t>Equal evidence under the same scoring-rule version must produce equal deterministic calculations.</w:t>
      </w:r>
    </w:p>
    <w:p>
      <w:pPr>
        <w:pStyle w:val="ListBullet"/>
      </w:pPr>
      <w:r>
        <w:t>Organization prestige must not substitute for demonstrated personal contribution.</w:t>
      </w:r>
    </w:p>
    <w:p>
      <w:pPr>
        <w:pStyle w:val="ListBullet"/>
      </w:pPr>
      <w:r>
        <w:t>Institutional records may receive a higher verification prior because they are easier to verify.</w:t>
      </w:r>
    </w:p>
    <w:p>
      <w:pPr>
        <w:pStyle w:val="ListBullet"/>
      </w:pPr>
      <w:r>
        <w:t>Users with fewer institutional opportunities must be able to establish strong evidence through public artifacts, demos, tests, peer review, and reproducible work.</w:t>
      </w:r>
    </w:p>
    <w:p>
      <w:pPr>
        <w:pStyle w:val="ListBullet"/>
      </w:pPr>
      <w:r>
        <w:t>Repeated evidence hashes and duplicate completion records must be idempotent and must not add points twice.</w:t>
      </w:r>
    </w:p>
    <w:p>
      <w:pPr>
        <w:pStyle w:val="ListBullet"/>
      </w:pPr>
      <w:r>
        <w:t>Low confidence must not permanently trap a user; strong new evidence and Judge assessments provide a recovery path.</w:t>
      </w:r>
    </w:p>
    <w:p>
      <w:pPr>
        <w:pStyle w:val="ListBullet"/>
      </w:pPr>
      <w:r>
        <w:t>Users must be able to inspect the evidence and factors behind a score and request correction.</w:t>
      </w:r>
    </w:p>
    <w:p>
      <w:pPr>
        <w:pStyle w:val="ListBullet"/>
      </w:pPr>
      <w:r>
        <w:t>The system must record limitations and must not market the score as an objective measure of human worth, employability, or intelligence.</w:t>
      </w:r>
    </w:p>
    <w:p>
      <w:pPr>
        <w:pStyle w:val="Heading1"/>
      </w:pPr>
      <w:r>
        <w:t>14. Prohibited Behaviors</w:t>
      </w:r>
    </w:p>
    <w:p>
      <w:pPr>
        <w:pStyle w:val="ListBullet"/>
      </w:pPr>
      <w:r>
        <w:t>The LLM must not output or directly persist score_delta.</w:t>
      </w:r>
    </w:p>
    <w:p>
      <w:pPr>
        <w:pStyle w:val="ListBullet"/>
      </w:pPr>
      <w:r>
        <w:t>The LLM must not change profile_confidence.</w:t>
      </w:r>
    </w:p>
    <w:p>
      <w:pPr>
        <w:pStyle w:val="ListBullet"/>
      </w:pPr>
      <w:r>
        <w:t>The LLM must not certify rank promotion or grant a professional title.</w:t>
      </w:r>
    </w:p>
    <w:p>
      <w:pPr>
        <w:pStyle w:val="ListBullet"/>
      </w:pPr>
      <w:r>
        <w:t>The system must not give a large gain based only on self-report.</w:t>
      </w:r>
    </w:p>
    <w:p>
      <w:pPr>
        <w:pStyle w:val="ListBullet"/>
      </w:pPr>
      <w:r>
        <w:t>The engine must not use the company name as a direct ability multiplier.</w:t>
      </w:r>
    </w:p>
    <w:p>
      <w:pPr>
        <w:pStyle w:val="ListBullet"/>
      </w:pPr>
      <w:r>
        <w:t>The engine must not punish a user with a negative ability change unless a future explicitly versioned policy permits it.</w:t>
      </w:r>
    </w:p>
    <w:p>
      <w:pPr>
        <w:pStyle w:val="ListBullet"/>
      </w:pPr>
      <w:r>
        <w:t>The engine must not delete historical evidence after a failed Judge assessment; it may change verification state and confidence.</w:t>
      </w:r>
    </w:p>
    <w:p>
      <w:pPr>
        <w:pStyle w:val="ListBullet"/>
      </w:pPr>
      <w:r>
        <w:t>The system must not overwrite an old result after rule changes. Recalculation must create a new versioned result.</w:t>
      </w:r>
    </w:p>
    <w:p>
      <w:pPr>
        <w:pStyle w:val="Heading1"/>
      </w:pPr>
      <w:r>
        <w:t>15. Audit and Versioning</w:t>
      </w:r>
    </w:p>
    <w:tbl>
      <w:tblPr>
        <w:tblStyle w:val="TableGrid"/>
        <w:tblW w:type="dxa" w:w="9360"/>
        <w:jc w:val="center"/>
        <w:tblLayout w:type="fixed"/>
        <w:tblLook w:firstColumn="1" w:firstRow="1" w:lastColumn="0" w:lastRow="0" w:noHBand="0" w:noVBand="1" w:val="04A0"/>
        <w:tblInd w:w="120" w:type="dxa"/>
      </w:tblPr>
      <w:tblGrid>
        <w:gridCol w:w="3300"/>
        <w:gridCol w:w="6060"/>
      </w:tblGrid>
      <w:tr>
        <w:trPr>
          <w:tblHeader w:val="true"/>
        </w:trPr>
        <w:tc>
          <w:tcPr>
            <w:tcW w:type="dxa" w:w="3300"/>
            <w:shd w:fill="E8EEF5"/>
            <w:vAlign w:val="center"/>
            <w:tcMar>
              <w:top w:w="80" w:type="dxa"/>
              <w:start w:w="120" w:type="dxa"/>
              <w:bottom w:w="80" w:type="dxa"/>
              <w:end w:w="120" w:type="dxa"/>
            </w:tcMar>
          </w:tcPr>
          <w:p>
            <w:r>
              <w:rPr>
                <w:b/>
                <w:color w:val="1F4D78"/>
              </w:rPr>
              <w:t>Required audit field</w:t>
            </w:r>
          </w:p>
        </w:tc>
        <w:tc>
          <w:tcPr>
            <w:tcW w:type="dxa" w:w="6060"/>
            <w:shd w:fill="E8EEF5"/>
            <w:vAlign w:val="center"/>
            <w:tcMar>
              <w:top w:w="80" w:type="dxa"/>
              <w:start w:w="120" w:type="dxa"/>
              <w:bottom w:w="80" w:type="dxa"/>
              <w:end w:w="120" w:type="dxa"/>
            </w:tcMar>
          </w:tcPr>
          <w:p>
            <w:r>
              <w:rPr>
                <w:b/>
                <w:color w:val="1F4D78"/>
              </w:rPr>
              <w:t>Purpose</w:t>
            </w:r>
          </w:p>
        </w:tc>
      </w:tr>
      <w:tr>
        <w:tc>
          <w:tcPr>
            <w:tcW w:type="dxa" w:w="3300"/>
            <w:vAlign w:val="center"/>
            <w:tcMar>
              <w:top w:w="80" w:type="dxa"/>
              <w:start w:w="120" w:type="dxa"/>
              <w:bottom w:w="80" w:type="dxa"/>
              <w:end w:w="120" w:type="dxa"/>
            </w:tcMar>
          </w:tcPr>
          <w:p>
            <w:r>
              <w:t>request_id / activity_id / user_id</w:t>
            </w:r>
          </w:p>
        </w:tc>
        <w:tc>
          <w:tcPr>
            <w:tcW w:type="dxa" w:w="6060"/>
            <w:vAlign w:val="center"/>
            <w:tcMar>
              <w:top w:w="80" w:type="dxa"/>
              <w:start w:w="120" w:type="dxa"/>
              <w:bottom w:w="80" w:type="dxa"/>
              <w:end w:w="120" w:type="dxa"/>
            </w:tcMar>
          </w:tcPr>
          <w:p>
            <w:r>
              <w:t>Trace the business event and make processing idempotent.</w:t>
            </w:r>
          </w:p>
        </w:tc>
      </w:tr>
      <w:tr>
        <w:tc>
          <w:tcPr>
            <w:tcW w:type="dxa" w:w="3300"/>
            <w:vAlign w:val="center"/>
            <w:tcMar>
              <w:top w:w="80" w:type="dxa"/>
              <w:start w:w="120" w:type="dxa"/>
              <w:bottom w:w="80" w:type="dxa"/>
              <w:end w:w="120" w:type="dxa"/>
            </w:tcMar>
          </w:tcPr>
          <w:p>
            <w:r>
              <w:t>evidence_hash</w:t>
            </w:r>
          </w:p>
        </w:tc>
        <w:tc>
          <w:tcPr>
            <w:tcW w:type="dxa" w:w="6060"/>
            <w:vAlign w:val="center"/>
            <w:tcMar>
              <w:top w:w="80" w:type="dxa"/>
              <w:start w:w="120" w:type="dxa"/>
              <w:bottom w:w="80" w:type="dxa"/>
              <w:end w:w="120" w:type="dxa"/>
            </w:tcMar>
          </w:tcPr>
          <w:p>
            <w:r>
              <w:t>Detect retries, duplicate artifacts, and changed evidence.</w:t>
            </w:r>
          </w:p>
        </w:tc>
      </w:tr>
      <w:tr>
        <w:tc>
          <w:tcPr>
            <w:tcW w:type="dxa" w:w="3300"/>
            <w:vAlign w:val="center"/>
            <w:tcMar>
              <w:top w:w="80" w:type="dxa"/>
              <w:start w:w="120" w:type="dxa"/>
              <w:bottom w:w="80" w:type="dxa"/>
              <w:end w:w="120" w:type="dxa"/>
            </w:tcMar>
          </w:tcPr>
          <w:p>
            <w:r>
              <w:t>prompt_version / model_name</w:t>
            </w:r>
          </w:p>
        </w:tc>
        <w:tc>
          <w:tcPr>
            <w:tcW w:type="dxa" w:w="6060"/>
            <w:vAlign w:val="center"/>
            <w:tcMar>
              <w:top w:w="80" w:type="dxa"/>
              <w:start w:w="120" w:type="dxa"/>
              <w:bottom w:w="80" w:type="dxa"/>
              <w:end w:w="120" w:type="dxa"/>
            </w:tcMar>
          </w:tcPr>
          <w:p>
            <w:r>
              <w:t>Explain which model interpretation produced the structured factors.</w:t>
            </w:r>
          </w:p>
        </w:tc>
      </w:tr>
      <w:tr>
        <w:tc>
          <w:tcPr>
            <w:tcW w:type="dxa" w:w="3300"/>
            <w:vAlign w:val="center"/>
            <w:tcMar>
              <w:top w:w="80" w:type="dxa"/>
              <w:start w:w="120" w:type="dxa"/>
              <w:bottom w:w="80" w:type="dxa"/>
              <w:end w:w="120" w:type="dxa"/>
            </w:tcMar>
          </w:tcPr>
          <w:p>
            <w:r>
              <w:t>rubric_version</w:t>
            </w:r>
          </w:p>
        </w:tc>
        <w:tc>
          <w:tcPr>
            <w:tcW w:type="dxa" w:w="6060"/>
            <w:vAlign w:val="center"/>
            <w:tcMar>
              <w:top w:w="80" w:type="dxa"/>
              <w:start w:w="120" w:type="dxa"/>
              <w:bottom w:w="80" w:type="dxa"/>
              <w:end w:w="120" w:type="dxa"/>
            </w:tcMar>
          </w:tcPr>
          <w:p>
            <w:r>
              <w:t>Identify the extraction rubric.</w:t>
            </w:r>
          </w:p>
        </w:tc>
      </w:tr>
      <w:tr>
        <w:tc>
          <w:tcPr>
            <w:tcW w:type="dxa" w:w="3300"/>
            <w:vAlign w:val="center"/>
            <w:tcMar>
              <w:top w:w="80" w:type="dxa"/>
              <w:start w:w="120" w:type="dxa"/>
              <w:bottom w:w="80" w:type="dxa"/>
              <w:end w:w="120" w:type="dxa"/>
            </w:tcMar>
          </w:tcPr>
          <w:p>
            <w:r>
              <w:t>scoring_rule_version</w:t>
            </w:r>
          </w:p>
        </w:tc>
        <w:tc>
          <w:tcPr>
            <w:tcW w:type="dxa" w:w="6060"/>
            <w:vAlign w:val="center"/>
            <w:tcMar>
              <w:top w:w="80" w:type="dxa"/>
              <w:start w:w="120" w:type="dxa"/>
              <w:bottom w:w="80" w:type="dxa"/>
              <w:end w:w="120" w:type="dxa"/>
            </w:tcMar>
          </w:tcPr>
          <w:p>
            <w:r>
              <w:t>Identify deterministic weights, mappings, clamps, and formulas.</w:t>
            </w:r>
          </w:p>
        </w:tc>
      </w:tr>
      <w:tr>
        <w:tc>
          <w:tcPr>
            <w:tcW w:type="dxa" w:w="3300"/>
            <w:vAlign w:val="center"/>
            <w:tcMar>
              <w:top w:w="80" w:type="dxa"/>
              <w:start w:w="120" w:type="dxa"/>
              <w:bottom w:w="80" w:type="dxa"/>
              <w:end w:w="120" w:type="dxa"/>
            </w:tcMar>
          </w:tcPr>
          <w:p>
            <w:r>
              <w:t>history_snapshot_version</w:t>
            </w:r>
          </w:p>
        </w:tc>
        <w:tc>
          <w:tcPr>
            <w:tcW w:type="dxa" w:w="6060"/>
            <w:vAlign w:val="center"/>
            <w:tcMar>
              <w:top w:w="80" w:type="dxa"/>
              <w:start w:w="120" w:type="dxa"/>
              <w:bottom w:w="80" w:type="dxa"/>
              <w:end w:w="120" w:type="dxa"/>
            </w:tcMar>
          </w:tcPr>
          <w:p>
            <w:r>
              <w:t>Explain which prior activities were used for novelty and uncertainty.</w:t>
            </w:r>
          </w:p>
        </w:tc>
      </w:tr>
      <w:tr>
        <w:tc>
          <w:tcPr>
            <w:tcW w:type="dxa" w:w="3300"/>
            <w:vAlign w:val="center"/>
            <w:tcMar>
              <w:top w:w="80" w:type="dxa"/>
              <w:start w:w="120" w:type="dxa"/>
              <w:bottom w:w="80" w:type="dxa"/>
              <w:end w:w="120" w:type="dxa"/>
            </w:tcMar>
          </w:tcPr>
          <w:p>
            <w:r>
              <w:t>factor values and evidence_refs</w:t>
            </w:r>
          </w:p>
        </w:tc>
        <w:tc>
          <w:tcPr>
            <w:tcW w:type="dxa" w:w="6060"/>
            <w:vAlign w:val="center"/>
            <w:tcMar>
              <w:top w:w="80" w:type="dxa"/>
              <w:start w:w="120" w:type="dxa"/>
              <w:bottom w:w="80" w:type="dxa"/>
              <w:end w:w="120" w:type="dxa"/>
            </w:tcMar>
          </w:tcPr>
          <w:p>
            <w:r>
              <w:t>Make every numeric result explainable.</w:t>
            </w:r>
          </w:p>
        </w:tc>
      </w:tr>
      <w:tr>
        <w:tc>
          <w:tcPr>
            <w:tcW w:type="dxa" w:w="3300"/>
            <w:vAlign w:val="center"/>
            <w:tcMar>
              <w:top w:w="80" w:type="dxa"/>
              <w:start w:w="120" w:type="dxa"/>
              <w:bottom w:w="80" w:type="dxa"/>
              <w:end w:w="120" w:type="dxa"/>
            </w:tcMar>
          </w:tcPr>
          <w:p>
            <w:r>
              <w:t>review actor and reason</w:t>
            </w:r>
          </w:p>
        </w:tc>
        <w:tc>
          <w:tcPr>
            <w:tcW w:type="dxa" w:w="6060"/>
            <w:vAlign w:val="center"/>
            <w:tcMar>
              <w:top w:w="80" w:type="dxa"/>
              <w:start w:w="120" w:type="dxa"/>
              <w:bottom w:w="80" w:type="dxa"/>
              <w:end w:w="120" w:type="dxa"/>
            </w:tcMar>
          </w:tcPr>
          <w:p>
            <w:r>
              <w:t>Audit Judge or human corrections.</w:t>
            </w:r>
          </w:p>
        </w:tc>
      </w:tr>
      <w:tr>
        <w:tc>
          <w:tcPr>
            <w:tcW w:type="dxa" w:w="3300"/>
            <w:vAlign w:val="center"/>
            <w:tcMar>
              <w:top w:w="80" w:type="dxa"/>
              <w:start w:w="120" w:type="dxa"/>
              <w:bottom w:w="80" w:type="dxa"/>
              <w:end w:w="120" w:type="dxa"/>
            </w:tcMar>
          </w:tcPr>
          <w:p>
            <w:r>
              <w:t>created_at / supersedes_result_id</w:t>
            </w:r>
          </w:p>
        </w:tc>
        <w:tc>
          <w:tcPr>
            <w:tcW w:type="dxa" w:w="6060"/>
            <w:vAlign w:val="center"/>
            <w:tcMar>
              <w:top w:w="80" w:type="dxa"/>
              <w:start w:w="120" w:type="dxa"/>
              <w:bottom w:w="80" w:type="dxa"/>
              <w:end w:w="120" w:type="dxa"/>
            </w:tcMar>
          </w:tcPr>
          <w:p>
            <w:r>
              <w:t>Preserve history when a score is recalculated.</w:t>
            </w:r>
          </w:p>
        </w:tc>
      </w:tr>
    </w:tbl>
    <w:p>
      <w:pPr>
        <w:pStyle w:val="Heading1"/>
      </w:pPr>
      <w:r>
        <w:t>16. Compatibility Notes for the Existing Project</w:t>
      </w:r>
    </w:p>
    <w:p>
      <w:pPr>
        <w:pStyle w:val="ListBullet"/>
      </w:pPr>
      <w:r>
        <w:t>The current GrowthTagService allows the LLM to return scoreDelta from 3 to 10. This is v1 compatibility behavior and must be replaced in a later implementation phase.</w:t>
      </w:r>
    </w:p>
    <w:p>
      <w:pPr>
        <w:pStyle w:val="ListBullet"/>
      </w:pPr>
      <w:r>
        <w:t>Current growth_tags.score is a capped sum of evidence scoreDelta values. It should become a display aggregate, while bounded ability state and cumulative experience are stored separately.</w:t>
      </w:r>
    </w:p>
    <w:p>
      <w:pPr>
        <w:pStyle w:val="ListBullet"/>
      </w:pPr>
      <w:r>
        <w:t>Event Quality Agent abilityImpacts remain useful as activity-side evidence, but their numeric score must be treated as an estimate, not a final user ability gain.</w:t>
      </w:r>
    </w:p>
    <w:p>
      <w:pPr>
        <w:pStyle w:val="ListBullet"/>
      </w:pPr>
      <w:r>
        <w:t>Existing Outbox and RabbitMQ infrastructure is suitable for asynchronous evidence extraction and deterministic score calculation.</w:t>
      </w:r>
    </w:p>
    <w:p>
      <w:pPr>
        <w:pStyle w:val="ListBullet"/>
      </w:pPr>
      <w:r>
        <w:t>Existing growth_tag_evidences provide a natural audit anchor, but later migrations should add rule version, factor JSON, verification status, provisional gain, and verified gain.</w:t>
      </w:r>
    </w:p>
    <w:p>
      <w:pPr>
        <w:pStyle w:val="Heading1"/>
      </w:pPr>
      <w:r>
        <w:t>17. Acceptance Criteria for Phase 1</w:t>
      </w:r>
    </w:p>
    <w:p>
      <w:pPr>
        <w:pStyle w:val="ListBullet"/>
      </w:pPr>
      <w:r>
        <w:t>The definitions of experience_score, ability_score, profile_confidence, and ability_uncertainty are unambiguous.</w:t>
      </w:r>
    </w:p>
    <w:p>
      <w:pPr>
        <w:pStyle w:val="ListBullet"/>
      </w:pPr>
      <w:r>
        <w:t>Profile confidence has a narrow 0.85 to 1.10 influence range and can only be changed by Judge or human review.</w:t>
      </w:r>
    </w:p>
    <w:p>
      <w:pPr>
        <w:pStyle w:val="ListBullet"/>
      </w:pPr>
      <w:r>
        <w:t>Company internship keeps a higher default source-verifiability prior without receiving an automatic growth-value bonus.</w:t>
      </w:r>
    </w:p>
    <w:p>
      <w:pPr>
        <w:pStyle w:val="ListBullet"/>
      </w:pPr>
      <w:r>
        <w:t>Individual work can outrank institutional work through stronger artifacts, completion quality, difficulty, and contribution clarity.</w:t>
      </w:r>
    </w:p>
    <w:p>
      <w:pPr>
        <w:pStyle w:val="ListBullet"/>
      </w:pPr>
      <w:r>
        <w:t>The LLM output contains evidence factors only and contains no final delta.</w:t>
      </w:r>
    </w:p>
    <w:p>
      <w:pPr>
        <w:pStyle w:val="ListBullet"/>
      </w:pPr>
      <w:r>
        <w:t>All final numeric score changes are reserved for deterministic, versioned Java logic.</w:t>
      </w:r>
    </w:p>
    <w:p>
      <w:pPr>
        <w:pStyle w:val="ListBullet"/>
      </w:pPr>
      <w:r>
        <w:t>Every future result can be reproduced and audited from stored inputs, versions, factors, and evidence references.</w:t>
      </w:r>
    </w:p>
    <w:sectPr w:rsidR="00FC693F" w:rsidRPr="0006063C" w:rsidSect="00034616">
      <w:headerReference w:type="default" r:id="rId9"/>
      <w:foot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085"/>
        <w:sz w:val="16"/>
      </w:rPr>
      <w:t>Internal design specification - Phase 1 rule freeze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7085"/>
        <w:sz w:val="17"/>
      </w:rPr>
      <w:t>Do Not Miss | Ability Scoring Contract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259" w:right="259"/>
    </w:pPr>
    <w:rPr>
      <w:rFonts w:ascii="Consolas" w:hAnsi="Consolas"/>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IRT_sys_agent Scoring System v2</dc:title>
  <dc:subject>Do Not Miss ability evidence and scoring contract</dc:subject>
  <dc:creator>Do Not Miss Project</dc:creator>
  <cp:keywords>IRT, Agent, ability scoring, evidence, fairness, Judge Agent</cp:keywords>
  <dc:description>generated by python-docx</dc:description>
  <cp:lastModifiedBy/>
  <cp:revision>1</cp:revision>
  <dcterms:created xsi:type="dcterms:W3CDTF">2013-12-23T23:15:00Z</dcterms:created>
  <dcterms:modified xsi:type="dcterms:W3CDTF">2013-12-23T23:15:00Z</dcterms:modified>
  <cp:category/>
</cp:coreProperties>
</file>