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06ECC0">
      <w:pPr>
        <w:tabs>
          <w:tab w:val="left" w:pos="2127"/>
          <w:tab w:val="center" w:pos="4513"/>
          <w:tab w:val="left" w:pos="7800"/>
        </w:tabs>
        <w:spacing w:line="480" w:lineRule="auto"/>
        <w:jc w:val="center"/>
        <w:rPr>
          <w:rFonts w:cstheme="minorHAnsi"/>
          <w:b/>
          <w:bCs/>
          <w:sz w:val="24"/>
          <w:szCs w:val="24"/>
          <w:lang w:val="en-US"/>
        </w:rPr>
      </w:pPr>
    </w:p>
    <w:p w14:paraId="796A6BCC">
      <w:pPr>
        <w:tabs>
          <w:tab w:val="left" w:pos="2127"/>
          <w:tab w:val="center" w:pos="4513"/>
          <w:tab w:val="left" w:pos="7800"/>
        </w:tabs>
        <w:spacing w:line="480" w:lineRule="auto"/>
        <w:jc w:val="center"/>
        <w:rPr>
          <w:rFonts w:cstheme="minorHAnsi"/>
          <w:b/>
          <w:bCs/>
          <w:sz w:val="24"/>
          <w:szCs w:val="24"/>
          <w:lang w:val="en-US"/>
        </w:rPr>
      </w:pPr>
    </w:p>
    <w:p w14:paraId="558A7166">
      <w:pPr>
        <w:tabs>
          <w:tab w:val="left" w:pos="2127"/>
          <w:tab w:val="center" w:pos="4513"/>
          <w:tab w:val="left" w:pos="7800"/>
        </w:tabs>
        <w:spacing w:line="480" w:lineRule="auto"/>
        <w:jc w:val="center"/>
        <w:rPr>
          <w:rFonts w:cstheme="minorHAnsi"/>
          <w:b/>
          <w:bCs/>
          <w:sz w:val="24"/>
          <w:szCs w:val="24"/>
          <w:lang w:val="en-US"/>
        </w:rPr>
      </w:pPr>
      <w:r>
        <w:rPr>
          <w:rFonts w:cstheme="minorHAnsi"/>
          <w:b/>
          <w:bCs/>
          <w:sz w:val="24"/>
          <w:szCs w:val="24"/>
          <w:lang w:val="en-US"/>
        </w:rPr>
        <w:t xml:space="preserve">Supplementary Materials for </w:t>
      </w:r>
    </w:p>
    <w:p w14:paraId="325A5A23">
      <w:pPr>
        <w:tabs>
          <w:tab w:val="left" w:pos="2127"/>
          <w:tab w:val="center" w:pos="4513"/>
          <w:tab w:val="left" w:pos="7800"/>
        </w:tabs>
        <w:spacing w:line="480" w:lineRule="auto"/>
        <w:jc w:val="center"/>
        <w:rPr>
          <w:rFonts w:cstheme="minorHAnsi"/>
          <w:b/>
          <w:bCs/>
          <w:sz w:val="24"/>
          <w:szCs w:val="28"/>
          <w:lang w:val="en-US"/>
        </w:rPr>
      </w:pPr>
      <w:r>
        <w:rPr>
          <w:rFonts w:cstheme="minorHAnsi"/>
          <w:b/>
          <w:bCs/>
          <w:sz w:val="24"/>
          <w:szCs w:val="28"/>
          <w:lang w:val="en-US"/>
        </w:rPr>
        <w:t>Emotion and intergroup cooperation: How expressions of guilt, shame and pride influence behavior in the centipede game</w:t>
      </w:r>
    </w:p>
    <w:p w14:paraId="4F48793A">
      <w:pPr>
        <w:spacing w:line="480" w:lineRule="auto"/>
        <w:jc w:val="center"/>
        <w:rPr>
          <w:rFonts w:cstheme="minorHAnsi"/>
          <w:bCs/>
          <w:sz w:val="24"/>
          <w:szCs w:val="24"/>
          <w:lang w:val="en-US"/>
        </w:rPr>
      </w:pPr>
    </w:p>
    <w:p w14:paraId="2BD55F6F">
      <w:pPr>
        <w:spacing w:line="480" w:lineRule="auto"/>
        <w:jc w:val="center"/>
        <w:rPr>
          <w:rFonts w:cstheme="minorHAnsi"/>
          <w:bCs/>
          <w:sz w:val="24"/>
          <w:szCs w:val="24"/>
          <w:lang w:val="en-US"/>
        </w:rPr>
      </w:pPr>
    </w:p>
    <w:p w14:paraId="4F40CEF9">
      <w:pPr>
        <w:spacing w:line="480" w:lineRule="auto"/>
        <w:jc w:val="center"/>
        <w:rPr>
          <w:rFonts w:cstheme="minorHAnsi"/>
          <w:bCs/>
          <w:sz w:val="24"/>
          <w:szCs w:val="24"/>
          <w:lang w:val="en-US"/>
        </w:rPr>
      </w:pPr>
      <w:r>
        <w:rPr>
          <w:rFonts w:cstheme="minorHAnsi"/>
          <w:bCs/>
          <w:sz w:val="24"/>
          <w:szCs w:val="24"/>
          <w:lang w:val="en-US"/>
        </w:rPr>
        <w:t>Samuel J. Nunney, Job van der Schalk, and Antony S. R. Manstead</w:t>
      </w:r>
    </w:p>
    <w:p w14:paraId="045113A2">
      <w:pPr>
        <w:spacing w:line="480" w:lineRule="auto"/>
        <w:jc w:val="center"/>
        <w:rPr>
          <w:rFonts w:cstheme="minorHAnsi"/>
          <w:bCs/>
          <w:sz w:val="24"/>
          <w:szCs w:val="24"/>
          <w:lang w:val="en-US"/>
        </w:rPr>
      </w:pPr>
      <w:r>
        <w:rPr>
          <w:rFonts w:cstheme="minorHAnsi"/>
          <w:bCs/>
          <w:sz w:val="24"/>
          <w:szCs w:val="24"/>
          <w:lang w:val="en-US"/>
        </w:rPr>
        <w:t>Cardiff University, UK</w:t>
      </w:r>
    </w:p>
    <w:p w14:paraId="2B78EDCD">
      <w:pPr>
        <w:spacing w:after="0" w:line="240" w:lineRule="auto"/>
        <w:rPr>
          <w:b/>
          <w:bCs/>
          <w:sz w:val="24"/>
          <w:szCs w:val="24"/>
          <w:lang w:val="en-US"/>
        </w:rPr>
      </w:pPr>
      <w:r>
        <w:rPr>
          <w:b/>
          <w:bCs/>
          <w:sz w:val="24"/>
          <w:szCs w:val="24"/>
          <w:lang w:val="en-US"/>
        </w:rPr>
        <w:br w:type="page"/>
      </w:r>
    </w:p>
    <w:p w14:paraId="70FC044E">
      <w:pPr>
        <w:tabs>
          <w:tab w:val="left" w:pos="2100"/>
          <w:tab w:val="center" w:pos="4513"/>
          <w:tab w:val="left" w:pos="7320"/>
        </w:tabs>
        <w:rPr>
          <w:b/>
          <w:bCs/>
          <w:sz w:val="24"/>
          <w:szCs w:val="24"/>
          <w:lang w:val="en-US"/>
        </w:rPr>
      </w:pPr>
      <w:r>
        <w:rPr>
          <w:b/>
          <w:bCs/>
          <w:sz w:val="24"/>
          <w:szCs w:val="24"/>
          <w:lang w:val="en-US"/>
        </w:rPr>
        <w:t>Study 1 Game Behavior Raw Data</w:t>
      </w:r>
    </w:p>
    <w:p w14:paraId="0F3E20A5">
      <w:pPr>
        <w:tabs>
          <w:tab w:val="left" w:pos="7320"/>
        </w:tabs>
        <w:jc w:val="center"/>
        <w:rPr>
          <w:rFonts w:cstheme="minorHAnsi"/>
          <w:i/>
          <w:sz w:val="24"/>
          <w:szCs w:val="24"/>
          <w:lang w:val="en-US"/>
        </w:rPr>
      </w:pPr>
      <w:r>
        <w:rPr>
          <w:rFonts w:cstheme="minorHAnsi"/>
          <w:i/>
          <w:sz w:val="24"/>
          <w:szCs w:val="24"/>
          <w:lang w:val="en-US"/>
        </w:rPr>
        <w:t>“S” denotes that the group stole, and the accompanying number denotes the round number on which they exited. “C” denotes a fully completed round</w:t>
      </w:r>
    </w:p>
    <w:p w14:paraId="5D771A9A">
      <w:pPr>
        <w:tabs>
          <w:tab w:val="left" w:pos="7320"/>
        </w:tabs>
        <w:jc w:val="center"/>
        <w:rPr>
          <w:lang w:val="en-US"/>
        </w:rPr>
      </w:pPr>
      <w:r>
        <w:rPr>
          <w:lang w:val="en-US" w:eastAsia="en-GB"/>
        </w:rPr>
        <w:drawing>
          <wp:inline distT="0" distB="0" distL="0" distR="0">
            <wp:extent cx="4679950" cy="2519680"/>
            <wp:effectExtent l="0" t="0" r="635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4679950" cy="2519680"/>
                    </a:xfrm>
                    <a:prstGeom prst="rect">
                      <a:avLst/>
                    </a:prstGeom>
                    <a:noFill/>
                    <a:ln>
                      <a:noFill/>
                    </a:ln>
                  </pic:spPr>
                </pic:pic>
              </a:graphicData>
            </a:graphic>
          </wp:inline>
        </w:drawing>
      </w:r>
    </w:p>
    <w:p w14:paraId="3D447CC8">
      <w:pPr>
        <w:tabs>
          <w:tab w:val="left" w:pos="7320"/>
        </w:tabs>
        <w:jc w:val="center"/>
        <w:rPr>
          <w:lang w:val="en-US"/>
        </w:rPr>
      </w:pPr>
      <w:r>
        <w:rPr>
          <w:lang w:val="en-US" w:eastAsia="en-GB"/>
        </w:rPr>
        <w:drawing>
          <wp:inline distT="0" distB="0" distL="0" distR="0">
            <wp:extent cx="4679950" cy="2519680"/>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4679950" cy="2519680"/>
                    </a:xfrm>
                    <a:prstGeom prst="rect">
                      <a:avLst/>
                    </a:prstGeom>
                    <a:noFill/>
                    <a:ln>
                      <a:noFill/>
                    </a:ln>
                  </pic:spPr>
                </pic:pic>
              </a:graphicData>
            </a:graphic>
          </wp:inline>
        </w:drawing>
      </w:r>
    </w:p>
    <w:p w14:paraId="0773E1A5">
      <w:pPr>
        <w:tabs>
          <w:tab w:val="left" w:pos="7320"/>
        </w:tabs>
        <w:jc w:val="center"/>
        <w:rPr>
          <w:lang w:val="en-US"/>
        </w:rPr>
      </w:pPr>
      <w:r>
        <w:rPr>
          <w:lang w:val="en-US" w:eastAsia="en-GB"/>
        </w:rPr>
        <w:drawing>
          <wp:inline distT="0" distB="0" distL="0" distR="0">
            <wp:extent cx="4679950" cy="2519680"/>
            <wp:effectExtent l="0" t="0" r="635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4679950" cy="2519680"/>
                    </a:xfrm>
                    <a:prstGeom prst="rect">
                      <a:avLst/>
                    </a:prstGeom>
                    <a:noFill/>
                    <a:ln>
                      <a:noFill/>
                    </a:ln>
                  </pic:spPr>
                </pic:pic>
              </a:graphicData>
            </a:graphic>
          </wp:inline>
        </w:drawing>
      </w:r>
    </w:p>
    <w:p w14:paraId="03A43A62">
      <w:pPr>
        <w:jc w:val="center"/>
        <w:rPr>
          <w:lang w:val="en-US"/>
        </w:rPr>
      </w:pPr>
      <w:r>
        <w:rPr>
          <w:lang w:val="en-US" w:eastAsia="en-GB"/>
        </w:rPr>
        <w:drawing>
          <wp:inline distT="0" distB="0" distL="0" distR="0">
            <wp:extent cx="4679950" cy="2519680"/>
            <wp:effectExtent l="0" t="0" r="635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4679950" cy="2519680"/>
                    </a:xfrm>
                    <a:prstGeom prst="rect">
                      <a:avLst/>
                    </a:prstGeom>
                    <a:noFill/>
                    <a:ln>
                      <a:noFill/>
                    </a:ln>
                  </pic:spPr>
                </pic:pic>
              </a:graphicData>
            </a:graphic>
          </wp:inline>
        </w:drawing>
      </w:r>
    </w:p>
    <w:p w14:paraId="4E6060FF">
      <w:pPr>
        <w:jc w:val="center"/>
        <w:rPr>
          <w:lang w:val="en-US"/>
        </w:rPr>
      </w:pPr>
      <w:r>
        <w:rPr>
          <w:lang w:val="en-US" w:eastAsia="en-GB"/>
        </w:rPr>
        <w:drawing>
          <wp:inline distT="0" distB="0" distL="0" distR="0">
            <wp:extent cx="4679950" cy="2519680"/>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4679950" cy="2519680"/>
                    </a:xfrm>
                    <a:prstGeom prst="rect">
                      <a:avLst/>
                    </a:prstGeom>
                    <a:noFill/>
                    <a:ln>
                      <a:noFill/>
                    </a:ln>
                  </pic:spPr>
                </pic:pic>
              </a:graphicData>
            </a:graphic>
          </wp:inline>
        </w:drawing>
      </w:r>
    </w:p>
    <w:p w14:paraId="6275F498">
      <w:pPr>
        <w:rPr>
          <w:lang w:val="en-US"/>
        </w:rPr>
      </w:pPr>
    </w:p>
    <w:p w14:paraId="623562E1">
      <w:pPr>
        <w:rPr>
          <w:lang w:val="en-US"/>
        </w:rPr>
      </w:pPr>
    </w:p>
    <w:p w14:paraId="351F2EA6">
      <w:pPr>
        <w:rPr>
          <w:lang w:val="en-US"/>
        </w:rPr>
      </w:pPr>
    </w:p>
    <w:p w14:paraId="084D7924">
      <w:pPr>
        <w:jc w:val="center"/>
        <w:rPr>
          <w:lang w:val="en-US"/>
        </w:rPr>
      </w:pPr>
      <w:r>
        <w:rPr>
          <w:lang w:val="en-US" w:eastAsia="en-GB"/>
        </w:rPr>
        <w:drawing>
          <wp:inline distT="0" distB="0" distL="0" distR="0">
            <wp:extent cx="4679950" cy="2519680"/>
            <wp:effectExtent l="0" t="0" r="635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4679950" cy="2519680"/>
                    </a:xfrm>
                    <a:prstGeom prst="rect">
                      <a:avLst/>
                    </a:prstGeom>
                    <a:noFill/>
                    <a:ln>
                      <a:noFill/>
                    </a:ln>
                  </pic:spPr>
                </pic:pic>
              </a:graphicData>
            </a:graphic>
          </wp:inline>
        </w:drawing>
      </w:r>
    </w:p>
    <w:p w14:paraId="1F2CFD99">
      <w:pPr>
        <w:jc w:val="center"/>
        <w:rPr>
          <w:lang w:val="en-US"/>
        </w:rPr>
      </w:pPr>
      <w:r>
        <w:drawing>
          <wp:inline distT="0" distB="0" distL="0" distR="0">
            <wp:extent cx="4679950" cy="2519680"/>
            <wp:effectExtent l="0" t="0" r="6350" b="7620"/>
            <wp:docPr id="258" name="Picture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 name="Picture 258"/>
                    <pic:cNvPicPr preferRelativeResize="0">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4680000" cy="2520000"/>
                    </a:xfrm>
                    <a:prstGeom prst="rect">
                      <a:avLst/>
                    </a:prstGeom>
                    <a:noFill/>
                    <a:ln>
                      <a:noFill/>
                    </a:ln>
                  </pic:spPr>
                </pic:pic>
              </a:graphicData>
            </a:graphic>
          </wp:inline>
        </w:drawing>
      </w:r>
    </w:p>
    <w:p w14:paraId="1C098DCF">
      <w:pPr>
        <w:jc w:val="center"/>
        <w:rPr>
          <w:lang w:val="en-US"/>
        </w:rPr>
      </w:pPr>
    </w:p>
    <w:p w14:paraId="3591ECA8">
      <w:pPr>
        <w:rPr>
          <w:lang w:val="en-US"/>
        </w:rPr>
      </w:pPr>
    </w:p>
    <w:p w14:paraId="2DA0AC71">
      <w:pPr>
        <w:spacing w:after="0" w:line="240" w:lineRule="auto"/>
        <w:rPr>
          <w:b/>
          <w:bCs/>
          <w:sz w:val="24"/>
          <w:szCs w:val="24"/>
        </w:rPr>
      </w:pPr>
      <w:r>
        <w:rPr>
          <w:b/>
          <w:bCs/>
          <w:sz w:val="24"/>
          <w:szCs w:val="24"/>
        </w:rPr>
        <w:br w:type="page"/>
      </w:r>
    </w:p>
    <w:p w14:paraId="54D67FF3">
      <w:pPr>
        <w:rPr>
          <w:b/>
          <w:bCs/>
          <w:sz w:val="24"/>
          <w:szCs w:val="24"/>
        </w:rPr>
      </w:pPr>
      <w:r>
        <w:rPr>
          <w:b/>
          <w:bCs/>
          <w:sz w:val="24"/>
          <w:szCs w:val="24"/>
        </w:rPr>
        <w:t>Instructions to participants</w:t>
      </w:r>
    </w:p>
    <w:p w14:paraId="43F77038">
      <w:pPr>
        <w:rPr>
          <w:i/>
          <w:iCs/>
        </w:rPr>
      </w:pPr>
      <w:r>
        <w:rPr>
          <w:i/>
          <w:iCs/>
        </w:rPr>
        <w:t>(for both Studies 1 and 2, with differences between the studies italicised)</w:t>
      </w:r>
    </w:p>
    <w:p w14:paraId="0698FBE6">
      <w:r>
        <w:t>Dear Group A/B.</w:t>
      </w:r>
    </w:p>
    <w:p w14:paraId="36045B15">
      <w:r>
        <w:t xml:space="preserve">Description: In this study, we are interested in looking at how groups cooperate and compete in the Intergroup Cooperation Game. </w:t>
      </w:r>
    </w:p>
    <w:p w14:paraId="6026F4C4">
      <w:r>
        <w:t xml:space="preserve">You have been placed in this group based upon your answers to the previous screening questionnaire. </w:t>
      </w:r>
    </w:p>
    <w:p w14:paraId="5188EFA0">
      <w:r>
        <w:t>In the Intergroup Cooperation Game, you and the other group will make a series of decisions in alternating order. At each stage, the group with the decision will have to choose to STOP or CONTINUE, thus, passing the same decision onto the other group. This will continue until one group chooses to stop or until the final completed stage of each game is reached. There will be payoffs in the form of lottery tickets, determined by what stage the process stops and who stops it. The group who chooses to stop will earn more lottery tickets, but the lottery ticket numbers increase with successive stages.</w:t>
      </w:r>
    </w:p>
    <w:p w14:paraId="0D5DA099">
      <w:r>
        <w:t xml:space="preserve">There will be six </w:t>
      </w:r>
      <w:r>
        <w:rPr>
          <w:i/>
          <w:iCs/>
          <w:u w:val="single"/>
        </w:rPr>
        <w:t>[</w:t>
      </w:r>
      <w:r>
        <w:rPr>
          <w:i/>
          <w:iCs/>
        </w:rPr>
        <w:t>two</w:t>
      </w:r>
      <w:r>
        <w:rPr>
          <w:i/>
          <w:iCs/>
          <w:u w:val="single"/>
        </w:rPr>
        <w:t>]</w:t>
      </w:r>
      <w:r>
        <w:t xml:space="preserve"> individual games played in the first instance, followed by a break in which you will be able to express your emotions to the opposing group, a further six </w:t>
      </w:r>
      <w:r>
        <w:rPr>
          <w:i/>
          <w:iCs/>
          <w:u w:val="single"/>
        </w:rPr>
        <w:t>[</w:t>
      </w:r>
      <w:r>
        <w:rPr>
          <w:i/>
          <w:iCs/>
        </w:rPr>
        <w:t>two</w:t>
      </w:r>
      <w:r>
        <w:rPr>
          <w:i/>
          <w:iCs/>
          <w:u w:val="single"/>
        </w:rPr>
        <w:t>]</w:t>
      </w:r>
      <w:r>
        <w:t xml:space="preserve"> games will follow this. </w:t>
      </w:r>
    </w:p>
    <w:p w14:paraId="5BE6CE65">
      <w:r>
        <w:t xml:space="preserve">Prior to the first official game beginning, you will be able to play a ‘practice game’ against the computer. </w:t>
      </w:r>
    </w:p>
    <w:p w14:paraId="4088D71A">
      <w:r>
        <w:t xml:space="preserve">This study takes between 30 and 45 minutes, and upon completion you will receive your allocated course credit and final number of lottery tickets. </w:t>
      </w:r>
    </w:p>
    <w:p w14:paraId="554236CB"/>
    <w:p w14:paraId="480F83F2">
      <w:pPr>
        <w:rPr>
          <w:b/>
          <w:bCs/>
          <w:sz w:val="24"/>
          <w:szCs w:val="24"/>
        </w:rPr>
      </w:pPr>
      <w:r>
        <w:rPr>
          <w:b/>
          <w:bCs/>
          <w:sz w:val="24"/>
          <w:szCs w:val="24"/>
        </w:rPr>
        <w:t>Instructions when logging on to the Intergroup Cooperation Game:</w:t>
      </w:r>
    </w:p>
    <w:p w14:paraId="1645B728">
      <w:pPr>
        <w:rPr>
          <w:i/>
          <w:iCs/>
        </w:rPr>
      </w:pPr>
      <w:r>
        <w:rPr>
          <w:i/>
          <w:iCs/>
        </w:rPr>
        <w:t>(Studies 1 and 2, with differences between the two italicised)</w:t>
      </w:r>
    </w:p>
    <w:p w14:paraId="0B90291D">
      <w:r>
        <w:t>This program sets up an Intergroup Cooperation Game in which two groups make a series of decisions in alternating order. At each stage in the series, the group who is taking the decision must choose to stop or continue. The process continues until one group chooses to stop or until the final stage is reached. Payoffs are determined by the stage at which the process stops. The group who chooses Stop earns more than the other group, but payoffs typically increase with successive stages.</w:t>
      </w:r>
    </w:p>
    <w:p w14:paraId="1372DB22">
      <w:r>
        <w:t xml:space="preserve">Rounds: This experiment consists of a number of rounds. The number of rounds is: 12 (a first phase of 6, a break, and a second phase of 6) </w:t>
      </w:r>
      <w:r>
        <w:rPr>
          <w:i/>
          <w:iCs/>
        </w:rPr>
        <w:t>[The number of rounds is: 4 (a first phase of 2, a break, and a second phase of 2)].</w:t>
      </w:r>
    </w:p>
    <w:p w14:paraId="0BB91C25">
      <w:r>
        <w:t>Interdependence: Your lottery ticket earnings are determined by the decisions that you and the other group make. Each of you will be given the chance to make one or more decisions, in alternating order, until one group stops the process or until the final decision point is reached and the process is stopped automatically.</w:t>
      </w:r>
    </w:p>
    <w:p w14:paraId="6B4C0568">
      <w:r>
        <w:t>Roles: In each pair of groups, one group will make the initial decision. If this group does not stop the process, then the other group will make the second decision. This group may stop the process, etc.</w:t>
      </w:r>
    </w:p>
    <w:p w14:paraId="4A841532">
      <w:r>
        <w:t>Payoffs: Press ‘Continue’ to see the table of lottery ticket payoffs on the next page.</w:t>
      </w:r>
    </w:p>
    <w:p w14:paraId="26409257">
      <w:r>
        <w:t xml:space="preserve">Before beginning: After viewing the lottery ticket payoff on the next page, you will be invited to take part in a practice game. </w:t>
      </w:r>
    </w:p>
    <w:p w14:paraId="163AD625"/>
    <w:p w14:paraId="6A36084E">
      <w:pPr>
        <w:jc w:val="center"/>
      </w:pPr>
      <w:r>
        <w:drawing>
          <wp:inline distT="0" distB="0" distL="0" distR="0">
            <wp:extent cx="4346575" cy="2200910"/>
            <wp:effectExtent l="0" t="0" r="0" b="8890"/>
            <wp:docPr id="1" name="Picture 1"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 schematic&#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4346575" cy="2200910"/>
                    </a:xfrm>
                    <a:prstGeom prst="rect">
                      <a:avLst/>
                    </a:prstGeom>
                    <a:noFill/>
                  </pic:spPr>
                </pic:pic>
              </a:graphicData>
            </a:graphic>
          </wp:inline>
        </w:drawing>
      </w:r>
      <w:bookmarkStart w:id="0" w:name="_GoBack"/>
      <w:bookmarkEnd w:id="0"/>
    </w:p>
    <w:p w14:paraId="35E98163">
      <w:pPr>
        <w:jc w:val="center"/>
      </w:pPr>
    </w:p>
    <w:p w14:paraId="5A157FC4">
      <w:pPr>
        <w:rPr>
          <w:b/>
          <w:bCs/>
          <w:sz w:val="28"/>
          <w:szCs w:val="28"/>
        </w:rPr>
      </w:pPr>
      <w:r>
        <w:rPr>
          <w:b/>
          <w:bCs/>
          <w:sz w:val="28"/>
          <w:szCs w:val="28"/>
        </w:rPr>
        <w:t>Dependent Measures</w:t>
      </w:r>
    </w:p>
    <w:p w14:paraId="05D36304">
      <w:pPr>
        <w:rPr>
          <w:b/>
          <w:bCs/>
          <w:sz w:val="24"/>
          <w:szCs w:val="24"/>
        </w:rPr>
      </w:pPr>
      <w:r>
        <w:rPr>
          <w:b/>
          <w:bCs/>
          <w:sz w:val="24"/>
          <w:szCs w:val="24"/>
        </w:rPr>
        <w:t>Emotion Expression</w:t>
      </w:r>
    </w:p>
    <w:p w14:paraId="198A37A5">
      <w:pPr>
        <w:rPr>
          <w:i/>
          <w:iCs/>
        </w:rPr>
      </w:pPr>
      <w:r>
        <w:rPr>
          <w:i/>
          <w:iCs/>
        </w:rPr>
        <w:t>(Studies 1 and 2, but only ‘proud’ and ‘ashamed’ were used in Study 2)</w:t>
      </w:r>
    </w:p>
    <w:p w14:paraId="66856857">
      <w:r>
        <w:t>This information will be shared with the other group.</w:t>
      </w:r>
    </w:p>
    <w:p w14:paraId="2700C2AD">
      <w:r>
        <w:t>How are you now feeling, as a group, about your performance in phase 1?</w:t>
      </w:r>
    </w:p>
    <w:p w14:paraId="63391DFE">
      <w:pPr>
        <w:contextualSpacing/>
        <w:rPr>
          <w:b/>
        </w:rPr>
      </w:pPr>
      <w:r>
        <w:rPr>
          <w:b/>
        </w:rPr>
        <w:t>Proud</w:t>
      </w:r>
    </w:p>
    <w:tbl>
      <w:tblPr>
        <w:tblStyle w:val="5"/>
        <w:tblW w:w="920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38"/>
        <w:gridCol w:w="1166"/>
        <w:gridCol w:w="1811"/>
        <w:gridCol w:w="1559"/>
        <w:gridCol w:w="1139"/>
        <w:gridCol w:w="1696"/>
      </w:tblGrid>
      <w:tr w14:paraId="6F3F0C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838" w:type="dxa"/>
            <w:vAlign w:val="center"/>
          </w:tcPr>
          <w:p w14:paraId="21408D7D">
            <w:pPr>
              <w:spacing w:after="255"/>
              <w:contextualSpacing/>
              <w:jc w:val="center"/>
            </w:pPr>
            <w:r>
              <w:t>Strongly Disagree</w:t>
            </w:r>
          </w:p>
        </w:tc>
        <w:tc>
          <w:tcPr>
            <w:tcW w:w="1166" w:type="dxa"/>
            <w:vAlign w:val="center"/>
          </w:tcPr>
          <w:p w14:paraId="4480C3AF">
            <w:pPr>
              <w:spacing w:after="255"/>
              <w:contextualSpacing/>
              <w:jc w:val="center"/>
            </w:pPr>
            <w:r>
              <w:t>Disagree</w:t>
            </w:r>
          </w:p>
        </w:tc>
        <w:tc>
          <w:tcPr>
            <w:tcW w:w="1811" w:type="dxa"/>
            <w:vAlign w:val="center"/>
          </w:tcPr>
          <w:p w14:paraId="1ADFF129">
            <w:pPr>
              <w:spacing w:after="255"/>
              <w:contextualSpacing/>
              <w:jc w:val="center"/>
            </w:pPr>
            <w:r>
              <w:t>Slightly Disagree</w:t>
            </w:r>
          </w:p>
        </w:tc>
        <w:tc>
          <w:tcPr>
            <w:tcW w:w="1559" w:type="dxa"/>
            <w:vAlign w:val="center"/>
          </w:tcPr>
          <w:p w14:paraId="1C336A8B">
            <w:pPr>
              <w:spacing w:after="255"/>
              <w:contextualSpacing/>
              <w:jc w:val="center"/>
            </w:pPr>
            <w:r>
              <w:t>Slightly Agree</w:t>
            </w:r>
          </w:p>
        </w:tc>
        <w:tc>
          <w:tcPr>
            <w:tcW w:w="1139" w:type="dxa"/>
            <w:vAlign w:val="center"/>
          </w:tcPr>
          <w:p w14:paraId="7B8B1642">
            <w:pPr>
              <w:spacing w:after="255"/>
              <w:contextualSpacing/>
              <w:jc w:val="center"/>
            </w:pPr>
            <w:r>
              <w:t>Agree</w:t>
            </w:r>
          </w:p>
        </w:tc>
        <w:tc>
          <w:tcPr>
            <w:tcW w:w="1696" w:type="dxa"/>
            <w:vAlign w:val="center"/>
          </w:tcPr>
          <w:p w14:paraId="21E1D1EC">
            <w:pPr>
              <w:spacing w:after="255"/>
              <w:contextualSpacing/>
              <w:jc w:val="center"/>
            </w:pPr>
            <w:r>
              <w:t>Strongly Agree</w:t>
            </w:r>
          </w:p>
        </w:tc>
      </w:tr>
      <w:tr w14:paraId="081BE8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838" w:type="dxa"/>
            <w:vAlign w:val="center"/>
          </w:tcPr>
          <w:p w14:paraId="60D31675">
            <w:pPr>
              <w:spacing w:after="255"/>
              <w:contextualSpacing/>
              <w:jc w:val="center"/>
            </w:pPr>
            <w:r>
              <w:t>1</w:t>
            </w:r>
          </w:p>
        </w:tc>
        <w:tc>
          <w:tcPr>
            <w:tcW w:w="1166" w:type="dxa"/>
            <w:vAlign w:val="center"/>
          </w:tcPr>
          <w:p w14:paraId="1D116E6F">
            <w:pPr>
              <w:spacing w:after="255"/>
              <w:contextualSpacing/>
              <w:jc w:val="center"/>
            </w:pPr>
            <w:r>
              <w:t>2</w:t>
            </w:r>
          </w:p>
        </w:tc>
        <w:tc>
          <w:tcPr>
            <w:tcW w:w="1811" w:type="dxa"/>
            <w:vAlign w:val="center"/>
          </w:tcPr>
          <w:p w14:paraId="40C64954">
            <w:pPr>
              <w:spacing w:after="255"/>
              <w:contextualSpacing/>
              <w:jc w:val="center"/>
            </w:pPr>
            <w:r>
              <w:t>3</w:t>
            </w:r>
          </w:p>
        </w:tc>
        <w:tc>
          <w:tcPr>
            <w:tcW w:w="1559" w:type="dxa"/>
            <w:vAlign w:val="center"/>
          </w:tcPr>
          <w:p w14:paraId="11F7ED6A">
            <w:pPr>
              <w:spacing w:after="255"/>
              <w:contextualSpacing/>
              <w:jc w:val="center"/>
            </w:pPr>
            <w:r>
              <w:t>4</w:t>
            </w:r>
          </w:p>
        </w:tc>
        <w:tc>
          <w:tcPr>
            <w:tcW w:w="1139" w:type="dxa"/>
            <w:vAlign w:val="center"/>
          </w:tcPr>
          <w:p w14:paraId="6F5BC370">
            <w:pPr>
              <w:spacing w:after="255"/>
              <w:contextualSpacing/>
              <w:jc w:val="center"/>
            </w:pPr>
            <w:r>
              <w:t>5</w:t>
            </w:r>
          </w:p>
        </w:tc>
        <w:tc>
          <w:tcPr>
            <w:tcW w:w="1696" w:type="dxa"/>
            <w:vAlign w:val="center"/>
          </w:tcPr>
          <w:p w14:paraId="2E6587EA">
            <w:pPr>
              <w:spacing w:after="255"/>
              <w:contextualSpacing/>
              <w:jc w:val="center"/>
            </w:pPr>
            <w:r>
              <w:t>6</w:t>
            </w:r>
          </w:p>
        </w:tc>
      </w:tr>
    </w:tbl>
    <w:p w14:paraId="31C4EDC0">
      <w:pPr>
        <w:contextualSpacing/>
      </w:pPr>
      <w:r>
        <w:tab/>
      </w:r>
      <w:r>
        <w:tab/>
      </w:r>
      <w:r>
        <w:tab/>
      </w:r>
    </w:p>
    <w:p w14:paraId="6AE1A40E">
      <w:pPr>
        <w:contextualSpacing/>
        <w:rPr>
          <w:b/>
        </w:rPr>
      </w:pPr>
      <w:r>
        <w:rPr>
          <w:b/>
        </w:rPr>
        <w:t>Guilty</w:t>
      </w:r>
    </w:p>
    <w:tbl>
      <w:tblPr>
        <w:tblStyle w:val="5"/>
        <w:tblW w:w="920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38"/>
        <w:gridCol w:w="1166"/>
        <w:gridCol w:w="1811"/>
        <w:gridCol w:w="1559"/>
        <w:gridCol w:w="1139"/>
        <w:gridCol w:w="1696"/>
      </w:tblGrid>
      <w:tr w14:paraId="4D5181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838" w:type="dxa"/>
            <w:vAlign w:val="center"/>
          </w:tcPr>
          <w:p w14:paraId="6D5FADF6">
            <w:pPr>
              <w:spacing w:after="255"/>
              <w:contextualSpacing/>
              <w:jc w:val="center"/>
            </w:pPr>
            <w:r>
              <w:t>Strongly Disagree</w:t>
            </w:r>
          </w:p>
        </w:tc>
        <w:tc>
          <w:tcPr>
            <w:tcW w:w="1166" w:type="dxa"/>
            <w:vAlign w:val="center"/>
          </w:tcPr>
          <w:p w14:paraId="0AA1A065">
            <w:pPr>
              <w:spacing w:after="255"/>
              <w:contextualSpacing/>
              <w:jc w:val="center"/>
            </w:pPr>
            <w:r>
              <w:t>Disagree</w:t>
            </w:r>
          </w:p>
        </w:tc>
        <w:tc>
          <w:tcPr>
            <w:tcW w:w="1811" w:type="dxa"/>
            <w:vAlign w:val="center"/>
          </w:tcPr>
          <w:p w14:paraId="7592F710">
            <w:pPr>
              <w:spacing w:after="255"/>
              <w:contextualSpacing/>
              <w:jc w:val="center"/>
            </w:pPr>
            <w:r>
              <w:t>Slightly Disagree</w:t>
            </w:r>
          </w:p>
        </w:tc>
        <w:tc>
          <w:tcPr>
            <w:tcW w:w="1559" w:type="dxa"/>
            <w:vAlign w:val="center"/>
          </w:tcPr>
          <w:p w14:paraId="221D1FBE">
            <w:pPr>
              <w:spacing w:after="255"/>
              <w:contextualSpacing/>
              <w:jc w:val="center"/>
            </w:pPr>
            <w:r>
              <w:t>Slightly Agree</w:t>
            </w:r>
          </w:p>
        </w:tc>
        <w:tc>
          <w:tcPr>
            <w:tcW w:w="1139" w:type="dxa"/>
            <w:vAlign w:val="center"/>
          </w:tcPr>
          <w:p w14:paraId="52578A79">
            <w:pPr>
              <w:spacing w:after="255"/>
              <w:contextualSpacing/>
              <w:jc w:val="center"/>
            </w:pPr>
            <w:r>
              <w:t>Agree</w:t>
            </w:r>
          </w:p>
        </w:tc>
        <w:tc>
          <w:tcPr>
            <w:tcW w:w="1696" w:type="dxa"/>
            <w:vAlign w:val="center"/>
          </w:tcPr>
          <w:p w14:paraId="0368249E">
            <w:pPr>
              <w:spacing w:after="255"/>
              <w:contextualSpacing/>
              <w:jc w:val="center"/>
            </w:pPr>
            <w:r>
              <w:t>Strongly Agree</w:t>
            </w:r>
          </w:p>
        </w:tc>
      </w:tr>
      <w:tr w14:paraId="249B51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838" w:type="dxa"/>
            <w:vAlign w:val="center"/>
          </w:tcPr>
          <w:p w14:paraId="4ACF3219">
            <w:pPr>
              <w:spacing w:after="255"/>
              <w:contextualSpacing/>
              <w:jc w:val="center"/>
            </w:pPr>
            <w:r>
              <w:t>1</w:t>
            </w:r>
          </w:p>
        </w:tc>
        <w:tc>
          <w:tcPr>
            <w:tcW w:w="1166" w:type="dxa"/>
            <w:vAlign w:val="center"/>
          </w:tcPr>
          <w:p w14:paraId="09C1B30A">
            <w:pPr>
              <w:spacing w:after="255"/>
              <w:contextualSpacing/>
              <w:jc w:val="center"/>
            </w:pPr>
            <w:r>
              <w:t>2</w:t>
            </w:r>
          </w:p>
        </w:tc>
        <w:tc>
          <w:tcPr>
            <w:tcW w:w="1811" w:type="dxa"/>
            <w:vAlign w:val="center"/>
          </w:tcPr>
          <w:p w14:paraId="66FE44D2">
            <w:pPr>
              <w:spacing w:after="255"/>
              <w:contextualSpacing/>
              <w:jc w:val="center"/>
            </w:pPr>
            <w:r>
              <w:t>3</w:t>
            </w:r>
          </w:p>
        </w:tc>
        <w:tc>
          <w:tcPr>
            <w:tcW w:w="1559" w:type="dxa"/>
            <w:vAlign w:val="center"/>
          </w:tcPr>
          <w:p w14:paraId="43A3235A">
            <w:pPr>
              <w:spacing w:after="255"/>
              <w:contextualSpacing/>
              <w:jc w:val="center"/>
            </w:pPr>
            <w:r>
              <w:t>4</w:t>
            </w:r>
          </w:p>
        </w:tc>
        <w:tc>
          <w:tcPr>
            <w:tcW w:w="1139" w:type="dxa"/>
            <w:vAlign w:val="center"/>
          </w:tcPr>
          <w:p w14:paraId="648FFF39">
            <w:pPr>
              <w:spacing w:after="255"/>
              <w:contextualSpacing/>
              <w:jc w:val="center"/>
            </w:pPr>
            <w:r>
              <w:t>5</w:t>
            </w:r>
          </w:p>
        </w:tc>
        <w:tc>
          <w:tcPr>
            <w:tcW w:w="1696" w:type="dxa"/>
            <w:vAlign w:val="center"/>
          </w:tcPr>
          <w:p w14:paraId="033F0B26">
            <w:pPr>
              <w:spacing w:after="255"/>
              <w:contextualSpacing/>
              <w:jc w:val="center"/>
            </w:pPr>
            <w:r>
              <w:t>6</w:t>
            </w:r>
          </w:p>
        </w:tc>
      </w:tr>
    </w:tbl>
    <w:p w14:paraId="758BB08C">
      <w:pPr>
        <w:contextualSpacing/>
      </w:pPr>
    </w:p>
    <w:p w14:paraId="0B00E213">
      <w:pPr>
        <w:contextualSpacing/>
        <w:rPr>
          <w:b/>
        </w:rPr>
      </w:pPr>
      <w:r>
        <w:rPr>
          <w:b/>
        </w:rPr>
        <w:t>Ashamed</w:t>
      </w:r>
    </w:p>
    <w:tbl>
      <w:tblPr>
        <w:tblStyle w:val="5"/>
        <w:tblW w:w="920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38"/>
        <w:gridCol w:w="1166"/>
        <w:gridCol w:w="1811"/>
        <w:gridCol w:w="1559"/>
        <w:gridCol w:w="1139"/>
        <w:gridCol w:w="1696"/>
      </w:tblGrid>
      <w:tr w14:paraId="6D4917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838" w:type="dxa"/>
            <w:vAlign w:val="center"/>
          </w:tcPr>
          <w:p w14:paraId="3BEDA614">
            <w:pPr>
              <w:spacing w:after="255"/>
              <w:contextualSpacing/>
              <w:jc w:val="center"/>
            </w:pPr>
            <w:r>
              <w:t>Strongly Disagree</w:t>
            </w:r>
          </w:p>
        </w:tc>
        <w:tc>
          <w:tcPr>
            <w:tcW w:w="1166" w:type="dxa"/>
            <w:vAlign w:val="center"/>
          </w:tcPr>
          <w:p w14:paraId="2709296E">
            <w:pPr>
              <w:spacing w:after="255"/>
              <w:contextualSpacing/>
              <w:jc w:val="center"/>
            </w:pPr>
            <w:r>
              <w:t>Disagree</w:t>
            </w:r>
          </w:p>
        </w:tc>
        <w:tc>
          <w:tcPr>
            <w:tcW w:w="1811" w:type="dxa"/>
            <w:vAlign w:val="center"/>
          </w:tcPr>
          <w:p w14:paraId="25872479">
            <w:pPr>
              <w:spacing w:after="255"/>
              <w:contextualSpacing/>
              <w:jc w:val="center"/>
            </w:pPr>
            <w:r>
              <w:t>Slightly Disagree</w:t>
            </w:r>
          </w:p>
        </w:tc>
        <w:tc>
          <w:tcPr>
            <w:tcW w:w="1559" w:type="dxa"/>
            <w:vAlign w:val="center"/>
          </w:tcPr>
          <w:p w14:paraId="4C8F02AF">
            <w:pPr>
              <w:spacing w:after="255"/>
              <w:contextualSpacing/>
              <w:jc w:val="center"/>
            </w:pPr>
            <w:r>
              <w:t>Slightly Agree</w:t>
            </w:r>
          </w:p>
        </w:tc>
        <w:tc>
          <w:tcPr>
            <w:tcW w:w="1139" w:type="dxa"/>
            <w:vAlign w:val="center"/>
          </w:tcPr>
          <w:p w14:paraId="2566CD6A">
            <w:pPr>
              <w:spacing w:after="255"/>
              <w:contextualSpacing/>
              <w:jc w:val="center"/>
            </w:pPr>
            <w:r>
              <w:t>Agree</w:t>
            </w:r>
          </w:p>
        </w:tc>
        <w:tc>
          <w:tcPr>
            <w:tcW w:w="1696" w:type="dxa"/>
            <w:vAlign w:val="center"/>
          </w:tcPr>
          <w:p w14:paraId="73E32D2D">
            <w:pPr>
              <w:spacing w:after="255"/>
              <w:contextualSpacing/>
              <w:jc w:val="center"/>
            </w:pPr>
            <w:r>
              <w:t>Strongly Agree</w:t>
            </w:r>
          </w:p>
        </w:tc>
      </w:tr>
      <w:tr w14:paraId="2A19DE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838" w:type="dxa"/>
            <w:vAlign w:val="center"/>
          </w:tcPr>
          <w:p w14:paraId="28080EBF">
            <w:pPr>
              <w:spacing w:after="255"/>
              <w:contextualSpacing/>
              <w:jc w:val="center"/>
            </w:pPr>
            <w:r>
              <w:t>1</w:t>
            </w:r>
          </w:p>
        </w:tc>
        <w:tc>
          <w:tcPr>
            <w:tcW w:w="1166" w:type="dxa"/>
            <w:vAlign w:val="center"/>
          </w:tcPr>
          <w:p w14:paraId="582A882E">
            <w:pPr>
              <w:spacing w:after="255"/>
              <w:contextualSpacing/>
              <w:jc w:val="center"/>
            </w:pPr>
            <w:r>
              <w:t>2</w:t>
            </w:r>
          </w:p>
        </w:tc>
        <w:tc>
          <w:tcPr>
            <w:tcW w:w="1811" w:type="dxa"/>
            <w:vAlign w:val="center"/>
          </w:tcPr>
          <w:p w14:paraId="72B741E5">
            <w:pPr>
              <w:spacing w:after="255"/>
              <w:contextualSpacing/>
              <w:jc w:val="center"/>
            </w:pPr>
            <w:r>
              <w:t>3</w:t>
            </w:r>
          </w:p>
        </w:tc>
        <w:tc>
          <w:tcPr>
            <w:tcW w:w="1559" w:type="dxa"/>
            <w:vAlign w:val="center"/>
          </w:tcPr>
          <w:p w14:paraId="7B67F1B0">
            <w:pPr>
              <w:spacing w:after="255"/>
              <w:contextualSpacing/>
              <w:jc w:val="center"/>
            </w:pPr>
            <w:r>
              <w:t>4</w:t>
            </w:r>
          </w:p>
        </w:tc>
        <w:tc>
          <w:tcPr>
            <w:tcW w:w="1139" w:type="dxa"/>
            <w:vAlign w:val="center"/>
          </w:tcPr>
          <w:p w14:paraId="5DAFE4BF">
            <w:pPr>
              <w:spacing w:after="255"/>
              <w:contextualSpacing/>
              <w:jc w:val="center"/>
            </w:pPr>
            <w:r>
              <w:t>5</w:t>
            </w:r>
          </w:p>
        </w:tc>
        <w:tc>
          <w:tcPr>
            <w:tcW w:w="1696" w:type="dxa"/>
            <w:vAlign w:val="center"/>
          </w:tcPr>
          <w:p w14:paraId="3FE75E4F">
            <w:pPr>
              <w:spacing w:after="255"/>
              <w:contextualSpacing/>
              <w:jc w:val="center"/>
            </w:pPr>
            <w:r>
              <w:t>6</w:t>
            </w:r>
          </w:p>
        </w:tc>
      </w:tr>
    </w:tbl>
    <w:p w14:paraId="3D70507C">
      <w:pPr>
        <w:jc w:val="center"/>
      </w:pPr>
    </w:p>
    <w:p w14:paraId="18CC7BF7">
      <w:pPr>
        <w:rPr>
          <w:b/>
          <w:bCs/>
          <w:sz w:val="24"/>
          <w:szCs w:val="24"/>
        </w:rPr>
      </w:pPr>
      <w:r>
        <w:rPr>
          <w:b/>
          <w:bCs/>
          <w:sz w:val="24"/>
          <w:szCs w:val="24"/>
        </w:rPr>
        <w:t>Altruistic Punishment</w:t>
      </w:r>
    </w:p>
    <w:p w14:paraId="77BC812D">
      <w:pPr>
        <w:rPr>
          <w:i/>
          <w:iCs/>
        </w:rPr>
      </w:pPr>
      <w:r>
        <w:rPr>
          <w:i/>
          <w:iCs/>
        </w:rPr>
        <w:t>(Study 2 only, completed by participants as individuals)</w:t>
      </w:r>
    </w:p>
    <w:p w14:paraId="15B4A25F">
      <w:r>
        <w:t>If you could give up any number of your group’s tickets to remove double that amount of your opponents’ tickets, how many tickets would you give up?</w:t>
      </w:r>
    </w:p>
    <w:p w14:paraId="3473C643"/>
    <w:sectPr>
      <w:headerReference r:id="rId5" w:type="default"/>
      <w:headerReference r:id="rId6" w:type="even"/>
      <w:pgSz w:w="11906" w:h="16838"/>
      <w:pgMar w:top="1440" w:right="1440" w:bottom="1440" w:left="1440" w:header="708" w:footer="708" w:gutter="0"/>
      <w:cols w:space="708"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7"/>
      </w:rPr>
      <w:id w:val="470107122"/>
      <w:docPartObj>
        <w:docPartGallery w:val="AutoText"/>
      </w:docPartObj>
    </w:sdtPr>
    <w:sdtEndPr>
      <w:rPr>
        <w:rStyle w:val="7"/>
      </w:rPr>
    </w:sdtEndPr>
    <w:sdtContent>
      <w:p w14:paraId="6903BC69">
        <w:pPr>
          <w:pStyle w:val="3"/>
          <w:framePr w:wrap="auto" w:vAnchor="text" w:hAnchor="margin" w:xAlign="right" w:y="1"/>
          <w:rPr>
            <w:rStyle w:val="7"/>
          </w:rPr>
        </w:pPr>
        <w:r>
          <w:rPr>
            <w:rStyle w:val="7"/>
          </w:rPr>
          <w:fldChar w:fldCharType="begin"/>
        </w:r>
        <w:r>
          <w:rPr>
            <w:rStyle w:val="7"/>
          </w:rPr>
          <w:instrText xml:space="preserve"> PAGE </w:instrText>
        </w:r>
        <w:r>
          <w:rPr>
            <w:rStyle w:val="7"/>
          </w:rPr>
          <w:fldChar w:fldCharType="separate"/>
        </w:r>
        <w:r>
          <w:rPr>
            <w:rStyle w:val="7"/>
          </w:rPr>
          <w:t>2</w:t>
        </w:r>
        <w:r>
          <w:rPr>
            <w:rStyle w:val="7"/>
          </w:rPr>
          <w:fldChar w:fldCharType="end"/>
        </w:r>
      </w:p>
    </w:sdtContent>
  </w:sdt>
  <w:p w14:paraId="61CDF3FE">
    <w:pPr>
      <w:pStyle w:val="3"/>
      <w:ind w:right="360"/>
    </w:pPr>
    <w:r>
      <w:rPr>
        <w:rFonts w:cstheme="minorHAnsi"/>
        <w:sz w:val="24"/>
        <w:szCs w:val="28"/>
        <w:lang w:val="en-US"/>
      </w:rPr>
      <w:t>Online Appendix: Emotion and intergroup cooperation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7"/>
      </w:rPr>
      <w:id w:val="1645235853"/>
      <w:docPartObj>
        <w:docPartGallery w:val="AutoText"/>
      </w:docPartObj>
    </w:sdtPr>
    <w:sdtEndPr>
      <w:rPr>
        <w:rStyle w:val="7"/>
      </w:rPr>
    </w:sdtEndPr>
    <w:sdtContent>
      <w:p w14:paraId="62232B7B">
        <w:pPr>
          <w:pStyle w:val="3"/>
          <w:framePr w:wrap="auto" w:vAnchor="text" w:hAnchor="margin" w:xAlign="right" w:y="1"/>
          <w:rPr>
            <w:rStyle w:val="7"/>
          </w:rPr>
        </w:pPr>
        <w:r>
          <w:rPr>
            <w:rStyle w:val="7"/>
          </w:rPr>
          <w:fldChar w:fldCharType="begin"/>
        </w:r>
        <w:r>
          <w:rPr>
            <w:rStyle w:val="7"/>
          </w:rPr>
          <w:instrText xml:space="preserve"> PAGE </w:instrText>
        </w:r>
        <w:r>
          <w:rPr>
            <w:rStyle w:val="7"/>
          </w:rPr>
          <w:fldChar w:fldCharType="end"/>
        </w:r>
      </w:p>
    </w:sdtContent>
  </w:sdt>
  <w:p w14:paraId="5047BDC8">
    <w:pPr>
      <w:pStyle w:val="3"/>
      <w:ind w:right="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44EE"/>
    <w:rsid w:val="000522ED"/>
    <w:rsid w:val="000E403A"/>
    <w:rsid w:val="00843728"/>
    <w:rsid w:val="009044EE"/>
    <w:rsid w:val="00A8655A"/>
    <w:rsid w:val="00DE3160"/>
    <w:rsid w:val="00EA101F"/>
    <w:rsid w:val="00FD72E9"/>
    <w:rsid w:val="217527E2"/>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GB" w:eastAsia="en-US" w:bidi="ar-SA"/>
    </w:rPr>
  </w:style>
  <w:style w:type="character" w:default="1" w:styleId="6">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9"/>
    <w:unhideWhenUsed/>
    <w:qFormat/>
    <w:uiPriority w:val="99"/>
    <w:pPr>
      <w:tabs>
        <w:tab w:val="center" w:pos="4513"/>
        <w:tab w:val="right" w:pos="9026"/>
      </w:tabs>
      <w:spacing w:after="0" w:line="240" w:lineRule="auto"/>
    </w:pPr>
  </w:style>
  <w:style w:type="paragraph" w:styleId="3">
    <w:name w:val="header"/>
    <w:basedOn w:val="1"/>
    <w:link w:val="8"/>
    <w:unhideWhenUsed/>
    <w:qFormat/>
    <w:uiPriority w:val="99"/>
    <w:pPr>
      <w:tabs>
        <w:tab w:val="center" w:pos="4513"/>
        <w:tab w:val="right" w:pos="9026"/>
      </w:tabs>
      <w:spacing w:after="0" w:line="240" w:lineRule="auto"/>
    </w:pPr>
  </w:style>
  <w:style w:type="table" w:styleId="5">
    <w:name w:val="Table Grid"/>
    <w:basedOn w:val="4"/>
    <w:qFormat/>
    <w:uiPriority w:val="39"/>
    <w:rPr>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7">
    <w:name w:val="page number"/>
    <w:basedOn w:val="6"/>
    <w:semiHidden/>
    <w:unhideWhenUsed/>
    <w:uiPriority w:val="99"/>
  </w:style>
  <w:style w:type="character" w:customStyle="1" w:styleId="8">
    <w:name w:val="Header Char"/>
    <w:basedOn w:val="6"/>
    <w:link w:val="3"/>
    <w:uiPriority w:val="99"/>
    <w:rPr>
      <w:sz w:val="22"/>
      <w:szCs w:val="22"/>
    </w:rPr>
  </w:style>
  <w:style w:type="character" w:customStyle="1" w:styleId="9">
    <w:name w:val="Footer Char"/>
    <w:basedOn w:val="6"/>
    <w:link w:val="2"/>
    <w:uiPriority w:val="99"/>
    <w:rPr>
      <w:sz w:val="22"/>
      <w:szCs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2.emf"/><Relationship Id="rId8" Type="http://schemas.openxmlformats.org/officeDocument/2006/relationships/image" Target="media/image1.emf"/><Relationship Id="rId7" Type="http://schemas.openxmlformats.org/officeDocument/2006/relationships/theme" Target="theme/theme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image" Target="media/image8.png"/><Relationship Id="rId14" Type="http://schemas.openxmlformats.org/officeDocument/2006/relationships/image" Target="media/image7.emf"/><Relationship Id="rId13" Type="http://schemas.openxmlformats.org/officeDocument/2006/relationships/image" Target="media/image6.emf"/><Relationship Id="rId12" Type="http://schemas.openxmlformats.org/officeDocument/2006/relationships/image" Target="media/image5.emf"/><Relationship Id="rId11" Type="http://schemas.openxmlformats.org/officeDocument/2006/relationships/image" Target="media/image4.emf"/><Relationship Id="rId10" Type="http://schemas.openxmlformats.org/officeDocument/2006/relationships/image" Target="media/image3.emf"/><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65</Words>
  <Characters>345</Characters>
  <Lines>29</Lines>
  <Paragraphs>8</Paragraphs>
  <TotalTime>12</TotalTime>
  <ScaleCrop>false</ScaleCrop>
  <LinksUpToDate>false</LinksUpToDate>
  <CharactersWithSpaces>405</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2021-10-25T14:05:00Z</dcterms:created>
  <dc:creator>Antony Manstead</dc:creator>
  <cp:lastModifiedBy>康昊楠</cp:lastModifiedBy>
  <dcterms:modified xsi:type="dcterms:W3CDTF">2025-11-30T07:34:56Z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eyJoZGlkIjoiNGUyMjQ1YmE4ZjdiOTkxYWU3YTc0NzdkOWM3ZGFhZDciLCJ1c2VySWQiOiIxNzYzNDM3MTM0In0=</vt:lpwstr>
  </property>
  <property fmtid="{D5CDD505-2E9C-101B-9397-08002B2CF9AE}" pid="3" name="KSOProductBuildVer">
    <vt:lpwstr>2052-12.1.0.24034</vt:lpwstr>
  </property>
  <property fmtid="{D5CDD505-2E9C-101B-9397-08002B2CF9AE}" pid="4" name="ICV">
    <vt:lpwstr>64982496C09B45D99E4E3038050A713E_12</vt:lpwstr>
  </property>
</Properties>
</file>