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F9012" w14:textId="3F4DB6D4" w:rsidR="00FF656E" w:rsidRPr="00A9664D" w:rsidRDefault="00774B26" w:rsidP="00D32138">
      <w:pPr>
        <w:pStyle w:val="Heading10"/>
        <w:keepNext/>
        <w:keepLines/>
        <w:shd w:val="clear" w:color="auto" w:fill="auto"/>
        <w:spacing w:after="239" w:line="240" w:lineRule="auto"/>
        <w:rPr>
          <w:sz w:val="24"/>
          <w:szCs w:val="24"/>
        </w:rPr>
      </w:pPr>
      <w:r>
        <w:rPr>
          <w:sz w:val="24"/>
          <w:szCs w:val="24"/>
        </w:rPr>
        <w:t>Tokenb</w:t>
      </w:r>
      <w:r w:rsidR="00D21665" w:rsidRPr="00A9664D">
        <w:rPr>
          <w:sz w:val="24"/>
          <w:szCs w:val="24"/>
        </w:rPr>
        <w:t>ox</w:t>
      </w:r>
      <w:r w:rsidR="00DE492F" w:rsidRPr="00A9664D">
        <w:rPr>
          <w:sz w:val="24"/>
          <w:szCs w:val="24"/>
        </w:rPr>
        <w:t xml:space="preserve"> L</w:t>
      </w:r>
      <w:r w:rsidR="00D21665" w:rsidRPr="00A9664D">
        <w:rPr>
          <w:sz w:val="24"/>
          <w:szCs w:val="24"/>
        </w:rPr>
        <w:t>LC</w:t>
      </w:r>
      <w:r w:rsidR="00DE492F" w:rsidRPr="00A9664D">
        <w:rPr>
          <w:sz w:val="24"/>
          <w:szCs w:val="24"/>
        </w:rPr>
        <w:t>.</w:t>
      </w:r>
    </w:p>
    <w:p w14:paraId="0976DAF5" w14:textId="422FF6F4" w:rsidR="00D46DD7" w:rsidRPr="00A9664D" w:rsidRDefault="00DE492F" w:rsidP="00D32138">
      <w:pPr>
        <w:pStyle w:val="Heading10"/>
        <w:keepNext/>
        <w:keepLines/>
        <w:shd w:val="clear" w:color="auto" w:fill="auto"/>
        <w:spacing w:after="239" w:line="240" w:lineRule="auto"/>
        <w:rPr>
          <w:sz w:val="24"/>
          <w:szCs w:val="24"/>
        </w:rPr>
      </w:pPr>
      <w:r w:rsidRPr="00A9664D">
        <w:rPr>
          <w:sz w:val="24"/>
          <w:szCs w:val="24"/>
        </w:rPr>
        <w:t>SAFT</w:t>
      </w:r>
    </w:p>
    <w:p w14:paraId="2FBAA95E" w14:textId="4521CAA7" w:rsidR="00FF656E" w:rsidRPr="00A9664D" w:rsidRDefault="00D32138" w:rsidP="00D32138">
      <w:pPr>
        <w:pStyle w:val="Heading10"/>
        <w:keepNext/>
        <w:keepLines/>
        <w:shd w:val="clear" w:color="auto" w:fill="auto"/>
        <w:spacing w:after="206" w:line="240" w:lineRule="auto"/>
        <w:rPr>
          <w:sz w:val="24"/>
          <w:szCs w:val="24"/>
        </w:rPr>
      </w:pPr>
      <w:bookmarkStart w:id="0" w:name="bookmark2"/>
      <w:r w:rsidRPr="00A9664D">
        <w:rPr>
          <w:sz w:val="24"/>
          <w:szCs w:val="24"/>
        </w:rPr>
        <w:t xml:space="preserve"> (Simple Agreement for Future Tokens)</w:t>
      </w:r>
      <w:bookmarkEnd w:id="0"/>
    </w:p>
    <w:p w14:paraId="2700561D" w14:textId="06D330B6" w:rsidR="00FF656E" w:rsidRPr="00A9664D" w:rsidRDefault="00D32138" w:rsidP="00A90956">
      <w:pPr>
        <w:pStyle w:val="Bodytext20"/>
        <w:shd w:val="clear" w:color="auto" w:fill="auto"/>
        <w:spacing w:before="0" w:after="220" w:line="240" w:lineRule="auto"/>
        <w:ind w:firstLine="0"/>
        <w:rPr>
          <w:sz w:val="24"/>
          <w:szCs w:val="24"/>
        </w:rPr>
      </w:pPr>
      <w:r w:rsidRPr="00A9664D">
        <w:rPr>
          <w:sz w:val="24"/>
          <w:szCs w:val="24"/>
        </w:rPr>
        <w:t xml:space="preserve">THIS CERTIFIES THAT in exchange for the payment by </w:t>
      </w:r>
      <w:r w:rsidR="00774B26" w:rsidRPr="00774B26">
        <w:rPr>
          <w:b/>
          <w:sz w:val="24"/>
          <w:szCs w:val="24"/>
          <w:highlight w:val="lightGray"/>
        </w:rPr>
        <w:t>[First name Last Name]</w:t>
      </w:r>
      <w:r w:rsidRPr="00A9664D">
        <w:rPr>
          <w:rStyle w:val="Bodytext2Bold"/>
          <w:sz w:val="24"/>
          <w:szCs w:val="24"/>
        </w:rPr>
        <w:t xml:space="preserve"> </w:t>
      </w:r>
      <w:r w:rsidRPr="00A9664D">
        <w:rPr>
          <w:sz w:val="24"/>
          <w:szCs w:val="24"/>
        </w:rPr>
        <w:t xml:space="preserve">(the </w:t>
      </w:r>
      <w:r w:rsidRPr="00A9664D">
        <w:rPr>
          <w:rStyle w:val="Bodytext2Bold"/>
          <w:sz w:val="24"/>
          <w:szCs w:val="24"/>
        </w:rPr>
        <w:t xml:space="preserve">“Purchaser”) </w:t>
      </w:r>
      <w:r w:rsidRPr="00A9664D">
        <w:rPr>
          <w:sz w:val="24"/>
          <w:szCs w:val="24"/>
        </w:rPr>
        <w:t xml:space="preserve">of </w:t>
      </w:r>
      <w:r w:rsidR="00774B26" w:rsidRPr="00774B26">
        <w:rPr>
          <w:rStyle w:val="Bodytext2Bold"/>
          <w:sz w:val="24"/>
          <w:szCs w:val="24"/>
          <w:highlight w:val="lightGray"/>
        </w:rPr>
        <w:t>___</w:t>
      </w:r>
      <w:r w:rsidR="00A90956" w:rsidRPr="00774B26">
        <w:rPr>
          <w:rStyle w:val="Bodytext2Bold"/>
          <w:sz w:val="24"/>
          <w:szCs w:val="24"/>
          <w:highlight w:val="lightGray"/>
        </w:rPr>
        <w:t xml:space="preserve"> </w:t>
      </w:r>
      <w:r w:rsidR="009F51B8" w:rsidRPr="00774B26">
        <w:rPr>
          <w:rStyle w:val="Bodytext2Bold"/>
          <w:sz w:val="24"/>
          <w:szCs w:val="24"/>
          <w:highlight w:val="lightGray"/>
        </w:rPr>
        <w:t>ETH</w:t>
      </w:r>
      <w:r w:rsidR="00774B26" w:rsidRPr="00774B26">
        <w:rPr>
          <w:rStyle w:val="Bodytext2Bold"/>
          <w:sz w:val="24"/>
          <w:szCs w:val="24"/>
          <w:highlight w:val="lightGray"/>
        </w:rPr>
        <w:t xml:space="preserve"> [BTC]</w:t>
      </w:r>
      <w:r w:rsidRPr="00A9664D">
        <w:rPr>
          <w:rStyle w:val="Bodytext2Bold"/>
          <w:sz w:val="24"/>
          <w:szCs w:val="24"/>
        </w:rPr>
        <w:t xml:space="preserve"> </w:t>
      </w:r>
      <w:r w:rsidRPr="00A9664D">
        <w:rPr>
          <w:sz w:val="24"/>
          <w:szCs w:val="24"/>
        </w:rPr>
        <w:t xml:space="preserve">(the </w:t>
      </w:r>
      <w:r w:rsidRPr="00A9664D">
        <w:rPr>
          <w:rStyle w:val="Bodytext2Bold"/>
          <w:sz w:val="24"/>
          <w:szCs w:val="24"/>
        </w:rPr>
        <w:t xml:space="preserve">“Purchase Amount”) </w:t>
      </w:r>
      <w:r w:rsidRPr="00A9664D">
        <w:rPr>
          <w:sz w:val="24"/>
          <w:szCs w:val="24"/>
        </w:rPr>
        <w:t>to</w:t>
      </w:r>
      <w:r w:rsidR="00DE492F" w:rsidRPr="00A9664D">
        <w:rPr>
          <w:rStyle w:val="Bodytext2Bold"/>
          <w:sz w:val="24"/>
          <w:szCs w:val="24"/>
        </w:rPr>
        <w:t xml:space="preserve"> </w:t>
      </w:r>
      <w:r w:rsidR="00774B26">
        <w:rPr>
          <w:b/>
          <w:sz w:val="24"/>
          <w:szCs w:val="24"/>
        </w:rPr>
        <w:t>Tokenb</w:t>
      </w:r>
      <w:r w:rsidR="00D21665" w:rsidRPr="00A9664D">
        <w:rPr>
          <w:b/>
          <w:sz w:val="24"/>
          <w:szCs w:val="24"/>
        </w:rPr>
        <w:t>ox LLC</w:t>
      </w:r>
      <w:r w:rsidR="00DE492F" w:rsidRPr="00A9664D">
        <w:rPr>
          <w:rStyle w:val="Bodytext2Bold"/>
          <w:b w:val="0"/>
          <w:sz w:val="24"/>
          <w:szCs w:val="24"/>
        </w:rPr>
        <w:t>.</w:t>
      </w:r>
      <w:r w:rsidRPr="00A9664D">
        <w:rPr>
          <w:rStyle w:val="Bodytext2Bold"/>
          <w:sz w:val="24"/>
          <w:szCs w:val="24"/>
        </w:rPr>
        <w:t xml:space="preserve">, </w:t>
      </w:r>
      <w:r w:rsidRPr="00A9664D">
        <w:rPr>
          <w:sz w:val="24"/>
          <w:szCs w:val="24"/>
        </w:rPr>
        <w:t>a</w:t>
      </w:r>
      <w:r w:rsidR="00DE492F" w:rsidRPr="00A9664D">
        <w:rPr>
          <w:sz w:val="24"/>
          <w:szCs w:val="24"/>
        </w:rPr>
        <w:t xml:space="preserve"> </w:t>
      </w:r>
      <w:r w:rsidRPr="00A9664D">
        <w:rPr>
          <w:sz w:val="24"/>
          <w:szCs w:val="24"/>
        </w:rPr>
        <w:t xml:space="preserve">limited </w:t>
      </w:r>
      <w:r w:rsidR="00D21665" w:rsidRPr="00A9664D">
        <w:rPr>
          <w:sz w:val="24"/>
          <w:szCs w:val="24"/>
        </w:rPr>
        <w:t xml:space="preserve">liability </w:t>
      </w:r>
      <w:r w:rsidRPr="00A9664D">
        <w:rPr>
          <w:sz w:val="24"/>
          <w:szCs w:val="24"/>
        </w:rPr>
        <w:t xml:space="preserve">company incorporated in </w:t>
      </w:r>
      <w:r w:rsidR="00D21665" w:rsidRPr="00A9664D">
        <w:rPr>
          <w:rStyle w:val="Bodytext2Bold"/>
          <w:b w:val="0"/>
          <w:sz w:val="24"/>
          <w:szCs w:val="24"/>
        </w:rPr>
        <w:t>Cayman Islands</w:t>
      </w:r>
      <w:r w:rsidR="00DE492F" w:rsidRPr="00A9664D">
        <w:rPr>
          <w:rStyle w:val="Bodytext2Bold"/>
          <w:sz w:val="24"/>
          <w:szCs w:val="24"/>
        </w:rPr>
        <w:t xml:space="preserve"> </w:t>
      </w:r>
      <w:r w:rsidRPr="00A9664D">
        <w:rPr>
          <w:sz w:val="24"/>
          <w:szCs w:val="24"/>
        </w:rPr>
        <w:t xml:space="preserve">(the </w:t>
      </w:r>
      <w:r w:rsidRPr="00A9664D">
        <w:rPr>
          <w:rStyle w:val="Bodytext2Bold"/>
          <w:sz w:val="24"/>
          <w:szCs w:val="24"/>
        </w:rPr>
        <w:t xml:space="preserve">“Company”), </w:t>
      </w:r>
      <w:r w:rsidRPr="00A9664D">
        <w:rPr>
          <w:sz w:val="24"/>
          <w:szCs w:val="24"/>
        </w:rPr>
        <w:t xml:space="preserve">the Company hereby issues to the Purchaser the right </w:t>
      </w:r>
      <w:r w:rsidR="00DE492F" w:rsidRPr="00A9664D">
        <w:rPr>
          <w:sz w:val="24"/>
          <w:szCs w:val="24"/>
        </w:rPr>
        <w:t xml:space="preserve">to </w:t>
      </w:r>
      <w:r w:rsidRPr="00A9664D">
        <w:rPr>
          <w:sz w:val="24"/>
          <w:szCs w:val="24"/>
        </w:rPr>
        <w:t xml:space="preserve">cryptographic tokens in the </w:t>
      </w:r>
      <w:r w:rsidR="00774B26">
        <w:rPr>
          <w:rStyle w:val="Bodytext2Bold"/>
          <w:sz w:val="24"/>
          <w:szCs w:val="24"/>
        </w:rPr>
        <w:t>Tokenb</w:t>
      </w:r>
      <w:r w:rsidR="00DE492F" w:rsidRPr="00A9664D">
        <w:rPr>
          <w:rStyle w:val="Bodytext2Bold"/>
          <w:sz w:val="24"/>
          <w:szCs w:val="24"/>
        </w:rPr>
        <w:t>ox Project</w:t>
      </w:r>
      <w:r w:rsidRPr="00A9664D">
        <w:rPr>
          <w:rStyle w:val="Bodytext2Bold"/>
          <w:sz w:val="24"/>
          <w:szCs w:val="24"/>
        </w:rPr>
        <w:t xml:space="preserve"> </w:t>
      </w:r>
      <w:r w:rsidRPr="00A9664D">
        <w:rPr>
          <w:sz w:val="24"/>
          <w:szCs w:val="24"/>
        </w:rPr>
        <w:t xml:space="preserve">(the </w:t>
      </w:r>
      <w:r w:rsidRPr="00A9664D">
        <w:rPr>
          <w:rStyle w:val="Bodytext2Bold"/>
          <w:sz w:val="24"/>
          <w:szCs w:val="24"/>
        </w:rPr>
        <w:t>“Tokens</w:t>
      </w:r>
      <w:r w:rsidR="0016786C" w:rsidRPr="00A9664D">
        <w:rPr>
          <w:rStyle w:val="Bodytext2Bold"/>
          <w:sz w:val="24"/>
          <w:szCs w:val="24"/>
        </w:rPr>
        <w:t>”</w:t>
      </w:r>
      <w:r w:rsidR="00DE492F" w:rsidRPr="00A9664D">
        <w:rPr>
          <w:rStyle w:val="Bodytext2Bold"/>
          <w:b w:val="0"/>
          <w:sz w:val="24"/>
          <w:szCs w:val="24"/>
        </w:rPr>
        <w:t>)</w:t>
      </w:r>
      <w:r w:rsidRPr="00A9664D">
        <w:rPr>
          <w:sz w:val="24"/>
          <w:szCs w:val="24"/>
        </w:rPr>
        <w:t>.</w:t>
      </w:r>
    </w:p>
    <w:p w14:paraId="52F45DA4" w14:textId="562529AB" w:rsidR="00FF656E" w:rsidRPr="00774B26" w:rsidRDefault="00D32138" w:rsidP="00D32138">
      <w:pPr>
        <w:pStyle w:val="Bodytext30"/>
        <w:shd w:val="clear" w:color="auto" w:fill="auto"/>
        <w:spacing w:before="0" w:after="124" w:line="240" w:lineRule="auto"/>
        <w:ind w:firstLine="69"/>
        <w:rPr>
          <w:i w:val="0"/>
          <w:sz w:val="24"/>
          <w:szCs w:val="24"/>
          <w:highlight w:val="lightGray"/>
        </w:rPr>
      </w:pPr>
      <w:r w:rsidRPr="00774B26">
        <w:rPr>
          <w:rStyle w:val="Bodytext3NotBold"/>
          <w:sz w:val="24"/>
          <w:szCs w:val="24"/>
          <w:highlight w:val="lightGray"/>
        </w:rPr>
        <w:t xml:space="preserve">The </w:t>
      </w:r>
      <w:r w:rsidRPr="00774B26">
        <w:rPr>
          <w:rStyle w:val="Bodytext3NotItalic"/>
          <w:b/>
          <w:bCs/>
          <w:sz w:val="24"/>
          <w:szCs w:val="24"/>
          <w:highlight w:val="lightGray"/>
        </w:rPr>
        <w:t>“</w:t>
      </w:r>
      <w:r w:rsidR="00313D5E" w:rsidRPr="00774B26">
        <w:rPr>
          <w:rStyle w:val="Bodytext3NotItalic"/>
          <w:b/>
          <w:bCs/>
          <w:sz w:val="24"/>
          <w:szCs w:val="24"/>
          <w:highlight w:val="lightGray"/>
        </w:rPr>
        <w:t>Bonus</w:t>
      </w:r>
      <w:r w:rsidRPr="00774B26">
        <w:rPr>
          <w:rStyle w:val="Bodytext3NotItalic"/>
          <w:b/>
          <w:bCs/>
          <w:sz w:val="24"/>
          <w:szCs w:val="24"/>
          <w:highlight w:val="lightGray"/>
        </w:rPr>
        <w:t xml:space="preserve"> Rate” </w:t>
      </w:r>
      <w:r w:rsidRPr="00774B26">
        <w:rPr>
          <w:rStyle w:val="Bodytext3NotBold"/>
          <w:sz w:val="24"/>
          <w:szCs w:val="24"/>
          <w:highlight w:val="lightGray"/>
        </w:rPr>
        <w:t xml:space="preserve">is </w:t>
      </w:r>
      <w:r w:rsidR="000C7CCC" w:rsidRPr="00774B26">
        <w:rPr>
          <w:i w:val="0"/>
          <w:sz w:val="24"/>
          <w:szCs w:val="24"/>
          <w:highlight w:val="lightGray"/>
        </w:rPr>
        <w:t>50</w:t>
      </w:r>
      <w:r w:rsidRPr="00774B26">
        <w:rPr>
          <w:i w:val="0"/>
          <w:sz w:val="24"/>
          <w:szCs w:val="24"/>
          <w:highlight w:val="lightGray"/>
        </w:rPr>
        <w:t>%.</w:t>
      </w:r>
    </w:p>
    <w:tbl>
      <w:tblPr>
        <w:tblStyle w:val="a4"/>
        <w:tblW w:w="0" w:type="auto"/>
        <w:tblLook w:val="04A0" w:firstRow="1" w:lastRow="0" w:firstColumn="1" w:lastColumn="0" w:noHBand="0" w:noVBand="1"/>
      </w:tblPr>
      <w:tblGrid>
        <w:gridCol w:w="4788"/>
        <w:gridCol w:w="4788"/>
      </w:tblGrid>
      <w:tr w:rsidR="00922B64" w:rsidRPr="00774B26" w14:paraId="2CEC5043" w14:textId="77777777" w:rsidTr="00922B64">
        <w:tc>
          <w:tcPr>
            <w:tcW w:w="4788" w:type="dxa"/>
          </w:tcPr>
          <w:p w14:paraId="2A3D512C" w14:textId="2BE87B3F" w:rsidR="00922B64" w:rsidRPr="00EE2170" w:rsidRDefault="00922B64" w:rsidP="00922B64">
            <w:pPr>
              <w:pStyle w:val="Bodytext30"/>
              <w:shd w:val="clear" w:color="auto" w:fill="auto"/>
              <w:spacing w:before="0" w:after="0" w:line="240" w:lineRule="auto"/>
              <w:ind w:firstLine="0"/>
              <w:rPr>
                <w:i w:val="0"/>
                <w:sz w:val="22"/>
                <w:szCs w:val="24"/>
                <w:highlight w:val="lightGray"/>
              </w:rPr>
            </w:pPr>
            <w:r w:rsidRPr="00EE2170">
              <w:rPr>
                <w:i w:val="0"/>
                <w:sz w:val="22"/>
                <w:szCs w:val="24"/>
                <w:highlight w:val="lightGray"/>
              </w:rPr>
              <w:t xml:space="preserve">BTC address for purchasing on </w:t>
            </w:r>
            <w:r w:rsidR="00EE2170" w:rsidRPr="00EE2170">
              <w:rPr>
                <w:i w:val="0"/>
                <w:sz w:val="22"/>
                <w:szCs w:val="24"/>
                <w:highlight w:val="lightGray"/>
              </w:rPr>
              <w:t>Private Sale</w:t>
            </w:r>
            <w:r w:rsidRPr="00EE2170">
              <w:rPr>
                <w:i w:val="0"/>
                <w:sz w:val="22"/>
                <w:szCs w:val="24"/>
                <w:highlight w:val="lightGray"/>
              </w:rPr>
              <w:t>:</w:t>
            </w:r>
          </w:p>
        </w:tc>
        <w:tc>
          <w:tcPr>
            <w:tcW w:w="4788" w:type="dxa"/>
          </w:tcPr>
          <w:p w14:paraId="0D5FBD42" w14:textId="28A2E4C2" w:rsidR="00922B64" w:rsidRPr="00EE2170" w:rsidRDefault="00922B64" w:rsidP="00774B26">
            <w:pPr>
              <w:pStyle w:val="Bodytext30"/>
              <w:shd w:val="clear" w:color="auto" w:fill="auto"/>
              <w:spacing w:before="0" w:after="0" w:line="240" w:lineRule="auto"/>
              <w:ind w:firstLine="0"/>
              <w:rPr>
                <w:i w:val="0"/>
                <w:sz w:val="22"/>
                <w:szCs w:val="24"/>
                <w:highlight w:val="lightGray"/>
              </w:rPr>
            </w:pPr>
          </w:p>
        </w:tc>
      </w:tr>
      <w:tr w:rsidR="00922B64" w:rsidRPr="00774B26" w14:paraId="10A738A7" w14:textId="77777777" w:rsidTr="00922B64">
        <w:tc>
          <w:tcPr>
            <w:tcW w:w="4788" w:type="dxa"/>
          </w:tcPr>
          <w:p w14:paraId="00CFF887" w14:textId="4D7E8247" w:rsidR="00922B64" w:rsidRPr="00EE2170" w:rsidRDefault="00922B64" w:rsidP="00922B64">
            <w:pPr>
              <w:pStyle w:val="Bodytext30"/>
              <w:shd w:val="clear" w:color="auto" w:fill="auto"/>
              <w:spacing w:before="0" w:after="0" w:line="240" w:lineRule="auto"/>
              <w:ind w:firstLine="0"/>
              <w:rPr>
                <w:i w:val="0"/>
                <w:sz w:val="22"/>
                <w:szCs w:val="24"/>
                <w:highlight w:val="lightGray"/>
              </w:rPr>
            </w:pPr>
            <w:r w:rsidRPr="00EE2170">
              <w:rPr>
                <w:i w:val="0"/>
                <w:sz w:val="22"/>
                <w:szCs w:val="24"/>
                <w:highlight w:val="lightGray"/>
              </w:rPr>
              <w:t xml:space="preserve">ETH address for purchasing </w:t>
            </w:r>
            <w:r w:rsidR="00EE2170" w:rsidRPr="00EE2170">
              <w:rPr>
                <w:i w:val="0"/>
                <w:sz w:val="22"/>
                <w:szCs w:val="24"/>
                <w:highlight w:val="lightGray"/>
              </w:rPr>
              <w:t>on Private Sale:</w:t>
            </w:r>
          </w:p>
        </w:tc>
        <w:tc>
          <w:tcPr>
            <w:tcW w:w="4788" w:type="dxa"/>
          </w:tcPr>
          <w:p w14:paraId="457E12E2" w14:textId="4F1DD60A" w:rsidR="00922B64" w:rsidRPr="00EE2170" w:rsidRDefault="00922B64" w:rsidP="00774B26">
            <w:pPr>
              <w:pStyle w:val="Bodytext30"/>
              <w:shd w:val="clear" w:color="auto" w:fill="auto"/>
              <w:spacing w:before="0" w:after="0" w:line="240" w:lineRule="auto"/>
              <w:ind w:firstLine="0"/>
              <w:rPr>
                <w:i w:val="0"/>
                <w:sz w:val="22"/>
                <w:szCs w:val="24"/>
                <w:highlight w:val="lightGray"/>
              </w:rPr>
            </w:pPr>
          </w:p>
        </w:tc>
      </w:tr>
    </w:tbl>
    <w:p w14:paraId="3EB8DC40" w14:textId="77777777" w:rsidR="00922B64" w:rsidRPr="00774B26" w:rsidRDefault="00922B64" w:rsidP="000C7CCC">
      <w:pPr>
        <w:pStyle w:val="Bodytext20"/>
        <w:shd w:val="clear" w:color="auto" w:fill="auto"/>
        <w:spacing w:before="0" w:after="239" w:line="240" w:lineRule="auto"/>
        <w:ind w:firstLine="0"/>
        <w:rPr>
          <w:sz w:val="24"/>
          <w:szCs w:val="24"/>
          <w:highlight w:val="lightGray"/>
        </w:rPr>
      </w:pPr>
      <w:bookmarkStart w:id="1" w:name="_GoBack"/>
      <w:bookmarkEnd w:id="1"/>
    </w:p>
    <w:p w14:paraId="6BC02243" w14:textId="139E0294" w:rsidR="0016786C" w:rsidRPr="0016786C" w:rsidRDefault="0016786C" w:rsidP="000C7CCC">
      <w:pPr>
        <w:pStyle w:val="Bodytext20"/>
        <w:shd w:val="clear" w:color="auto" w:fill="auto"/>
        <w:spacing w:before="0" w:after="239" w:line="240" w:lineRule="auto"/>
        <w:ind w:firstLine="0"/>
        <w:rPr>
          <w:sz w:val="32"/>
          <w:szCs w:val="24"/>
        </w:rPr>
      </w:pPr>
      <w:r w:rsidRPr="00774B26">
        <w:rPr>
          <w:sz w:val="24"/>
          <w:highlight w:val="lightGray"/>
        </w:rPr>
        <w:t xml:space="preserve">Exchange rate BTC/USD and ETH/USD will set on Kraken Exchange (https://www.kraken.com/) at 12:00:00 UTC of the </w:t>
      </w:r>
      <w:r w:rsidRPr="00774B26">
        <w:rPr>
          <w:rStyle w:val="Bodytext2Bold"/>
          <w:b w:val="0"/>
          <w:sz w:val="24"/>
          <w:szCs w:val="24"/>
          <w:highlight w:val="lightGray"/>
        </w:rPr>
        <w:t>Purchaser</w:t>
      </w:r>
      <w:r w:rsidRPr="00774B26">
        <w:rPr>
          <w:sz w:val="24"/>
          <w:highlight w:val="lightGray"/>
        </w:rPr>
        <w:t xml:space="preserve"> </w:t>
      </w:r>
      <w:r w:rsidRPr="00774B26">
        <w:rPr>
          <w:sz w:val="24"/>
          <w:szCs w:val="24"/>
          <w:highlight w:val="lightGray"/>
        </w:rPr>
        <w:t xml:space="preserve">payment </w:t>
      </w:r>
      <w:r w:rsidRPr="00774B26">
        <w:rPr>
          <w:sz w:val="24"/>
          <w:highlight w:val="lightGray"/>
        </w:rPr>
        <w:t>date.</w:t>
      </w:r>
    </w:p>
    <w:p w14:paraId="03B944E2" w14:textId="705AF043" w:rsidR="00FF656E" w:rsidRPr="00A9664D" w:rsidRDefault="00D32138" w:rsidP="000C7CCC">
      <w:pPr>
        <w:pStyle w:val="Bodytext20"/>
        <w:shd w:val="clear" w:color="auto" w:fill="auto"/>
        <w:spacing w:before="0" w:after="239" w:line="240" w:lineRule="auto"/>
        <w:ind w:firstLine="0"/>
        <w:rPr>
          <w:sz w:val="24"/>
          <w:szCs w:val="24"/>
        </w:rPr>
      </w:pPr>
      <w:r w:rsidRPr="00A9664D">
        <w:rPr>
          <w:sz w:val="24"/>
          <w:szCs w:val="24"/>
        </w:rPr>
        <w:t xml:space="preserve">See </w:t>
      </w:r>
      <w:r w:rsidRPr="00A9664D">
        <w:rPr>
          <w:rStyle w:val="Bodytext2Bold"/>
          <w:sz w:val="24"/>
          <w:szCs w:val="24"/>
        </w:rPr>
        <w:t xml:space="preserve">Section 2 </w:t>
      </w:r>
      <w:r w:rsidRPr="00A9664D">
        <w:rPr>
          <w:sz w:val="24"/>
          <w:szCs w:val="24"/>
        </w:rPr>
        <w:t>for certain additional defined terms.</w:t>
      </w:r>
    </w:p>
    <w:p w14:paraId="75943F95" w14:textId="77777777" w:rsidR="00D32138" w:rsidRPr="00A9664D" w:rsidRDefault="00D32138" w:rsidP="00D32138">
      <w:pPr>
        <w:pStyle w:val="Bodytext20"/>
        <w:shd w:val="clear" w:color="auto" w:fill="auto"/>
        <w:spacing w:before="0" w:after="239" w:line="240" w:lineRule="auto"/>
        <w:ind w:firstLine="69"/>
        <w:rPr>
          <w:sz w:val="24"/>
          <w:szCs w:val="24"/>
        </w:rPr>
      </w:pPr>
    </w:p>
    <w:p w14:paraId="53581AC8" w14:textId="77777777" w:rsidR="00FF656E" w:rsidRPr="00A9664D" w:rsidRDefault="00D32138" w:rsidP="00D32138">
      <w:pPr>
        <w:pStyle w:val="Bodytext30"/>
        <w:numPr>
          <w:ilvl w:val="0"/>
          <w:numId w:val="1"/>
        </w:numPr>
        <w:shd w:val="clear" w:color="auto" w:fill="auto"/>
        <w:tabs>
          <w:tab w:val="left" w:pos="342"/>
        </w:tabs>
        <w:spacing w:before="0" w:after="204" w:line="240" w:lineRule="auto"/>
        <w:ind w:firstLine="69"/>
        <w:rPr>
          <w:sz w:val="24"/>
          <w:szCs w:val="24"/>
        </w:rPr>
      </w:pPr>
      <w:r w:rsidRPr="00A9664D">
        <w:rPr>
          <w:sz w:val="24"/>
          <w:szCs w:val="24"/>
        </w:rPr>
        <w:t>Events</w:t>
      </w:r>
    </w:p>
    <w:p w14:paraId="76085AF9" w14:textId="77777777" w:rsidR="00FF656E" w:rsidRPr="00A9664D" w:rsidRDefault="00D32138" w:rsidP="000C7CCC">
      <w:pPr>
        <w:pStyle w:val="Bodytext20"/>
        <w:numPr>
          <w:ilvl w:val="0"/>
          <w:numId w:val="2"/>
        </w:numPr>
        <w:shd w:val="clear" w:color="auto" w:fill="auto"/>
        <w:tabs>
          <w:tab w:val="left" w:pos="694"/>
        </w:tabs>
        <w:spacing w:before="0" w:line="240" w:lineRule="auto"/>
        <w:ind w:firstLine="0"/>
        <w:rPr>
          <w:sz w:val="24"/>
          <w:szCs w:val="24"/>
        </w:rPr>
      </w:pPr>
      <w:r w:rsidRPr="00A9664D">
        <w:rPr>
          <w:rStyle w:val="Bodytext2Bold0"/>
          <w:sz w:val="24"/>
          <w:szCs w:val="24"/>
        </w:rPr>
        <w:t>Token Sale</w:t>
      </w:r>
      <w:r w:rsidRPr="00A9664D">
        <w:rPr>
          <w:rStyle w:val="Bodytext2Bold"/>
          <w:sz w:val="24"/>
          <w:szCs w:val="24"/>
        </w:rPr>
        <w:t xml:space="preserve">. </w:t>
      </w:r>
      <w:r w:rsidRPr="00A9664D">
        <w:rPr>
          <w:sz w:val="24"/>
          <w:szCs w:val="24"/>
        </w:rPr>
        <w:t xml:space="preserve">In the event that the Company or any Nominated Entity operates a Qualifying Token Sale, the Company will automatically issue to the Purchaser, or will take all reasonable steps to procure that the Nominated Entity promptly issues to the Purchaser, a number of Tokens equal to the Purchase Amount divided by the Discount Rate (the </w:t>
      </w:r>
      <w:r w:rsidRPr="00A9664D">
        <w:rPr>
          <w:rStyle w:val="Bodytext2Bold"/>
          <w:sz w:val="24"/>
          <w:szCs w:val="24"/>
        </w:rPr>
        <w:t xml:space="preserve">Purchaser Tokens). </w:t>
      </w:r>
      <w:r w:rsidRPr="00A9664D">
        <w:rPr>
          <w:sz w:val="24"/>
          <w:szCs w:val="24"/>
        </w:rPr>
        <w:t>If the Qualifying Token Sale is offered at different prices depending on the time at which Tokens are purchased, the Purchase Amount will be considered to have been at the most advantageous rate publicly marketed.</w:t>
      </w:r>
    </w:p>
    <w:p w14:paraId="5A639981" w14:textId="06C7CD09" w:rsidR="00D32138" w:rsidRPr="00A9664D" w:rsidRDefault="00D32138" w:rsidP="000C7CCC">
      <w:pPr>
        <w:pStyle w:val="Bodytext20"/>
        <w:shd w:val="clear" w:color="auto" w:fill="auto"/>
        <w:spacing w:before="0" w:line="240" w:lineRule="auto"/>
        <w:ind w:firstLine="69"/>
        <w:rPr>
          <w:sz w:val="24"/>
          <w:szCs w:val="24"/>
        </w:rPr>
      </w:pPr>
      <w:r w:rsidRPr="00A9664D">
        <w:rPr>
          <w:sz w:val="24"/>
          <w:szCs w:val="24"/>
        </w:rPr>
        <w:t>If the Company elects to operate the Qualifying Token Sale using a Nominated Entity, it will inform the Purchaser in writing. The performance by the Nominated Entity of the obligations of the Company under this agreement will duly discharge the obligations of the Company to the Purchaser.</w:t>
      </w:r>
    </w:p>
    <w:p w14:paraId="3A04C7F9" w14:textId="59670A92" w:rsidR="00FF656E" w:rsidRPr="00A9664D" w:rsidRDefault="00D32138" w:rsidP="000C7CCC">
      <w:pPr>
        <w:pStyle w:val="Bodytext20"/>
        <w:numPr>
          <w:ilvl w:val="0"/>
          <w:numId w:val="2"/>
        </w:numPr>
        <w:shd w:val="clear" w:color="auto" w:fill="auto"/>
        <w:spacing w:before="0" w:line="240" w:lineRule="auto"/>
        <w:ind w:firstLine="0"/>
        <w:rPr>
          <w:sz w:val="24"/>
          <w:szCs w:val="24"/>
        </w:rPr>
      </w:pPr>
      <w:r w:rsidRPr="00A9664D">
        <w:rPr>
          <w:rStyle w:val="Bodytext2Bold0"/>
          <w:sz w:val="24"/>
          <w:szCs w:val="24"/>
        </w:rPr>
        <w:t>Dissolution Event</w:t>
      </w:r>
      <w:r w:rsidRPr="00A9664D">
        <w:rPr>
          <w:rStyle w:val="Bodytext2Bold"/>
          <w:sz w:val="24"/>
          <w:szCs w:val="24"/>
        </w:rPr>
        <w:t xml:space="preserve">. </w:t>
      </w:r>
      <w:r w:rsidRPr="00A9664D">
        <w:rPr>
          <w:sz w:val="24"/>
          <w:szCs w:val="24"/>
        </w:rPr>
        <w:t xml:space="preserve">If there is a Dissolution Event before this agreement expires or terminates, the Company will pay an amount equal to the Purchase Amount, due and payable to the Purchaser immediately prior to, or concurrent with, the consummation of the Dissolution Event. The Purchase Amount will be paid prior and in preference to any Distribution of any of the assets of the Company to holders of outstanding Capital Shares by reason of their ownership thereof. If immediately prior to the consummation of the Dissolution Event, the assets of the Company legally available for distribution to the Purchaser and all holders of all other </w:t>
      </w:r>
      <w:r w:rsidR="00834F2F" w:rsidRPr="00A9664D">
        <w:rPr>
          <w:sz w:val="24"/>
          <w:szCs w:val="24"/>
        </w:rPr>
        <w:t>SAFT</w:t>
      </w:r>
      <w:r w:rsidRPr="00A9664D">
        <w:rPr>
          <w:sz w:val="24"/>
          <w:szCs w:val="24"/>
        </w:rPr>
        <w:t xml:space="preserve">s (the </w:t>
      </w:r>
      <w:r w:rsidRPr="00A9664D">
        <w:rPr>
          <w:rStyle w:val="Bodytext2Bold"/>
          <w:sz w:val="24"/>
          <w:szCs w:val="24"/>
        </w:rPr>
        <w:t xml:space="preserve">“Dissolving Purchasers”), </w:t>
      </w:r>
      <w:r w:rsidRPr="00A9664D">
        <w:rPr>
          <w:sz w:val="24"/>
          <w:szCs w:val="24"/>
        </w:rPr>
        <w:t xml:space="preserve">as determined in good faith by the Company’s board of directors, are insufficient to permit the payment to the Dissolving Purchasers of their respective </w:t>
      </w:r>
      <w:r w:rsidRPr="00A9664D">
        <w:rPr>
          <w:sz w:val="24"/>
          <w:szCs w:val="24"/>
        </w:rPr>
        <w:lastRenderedPageBreak/>
        <w:t xml:space="preserve">Purchase Amounts, then the entire assets of the Company legally available for distribution will be distributed with equal priority and </w:t>
      </w:r>
      <w:r w:rsidRPr="00A9664D">
        <w:rPr>
          <w:rStyle w:val="Bodytext2Italic"/>
          <w:sz w:val="24"/>
          <w:szCs w:val="24"/>
        </w:rPr>
        <w:t>pro rata</w:t>
      </w:r>
      <w:r w:rsidRPr="00A9664D">
        <w:rPr>
          <w:sz w:val="24"/>
          <w:szCs w:val="24"/>
        </w:rPr>
        <w:t xml:space="preserve"> among the Dissolving Purchasers in proportion to the Purchase Amounts they would otherwise be entitled to receive pursuant to this Section 1(c).</w:t>
      </w:r>
    </w:p>
    <w:p w14:paraId="64787AB0" w14:textId="1BA7F884" w:rsidR="00FF656E" w:rsidRPr="00A9664D" w:rsidRDefault="00D32138" w:rsidP="00834F2F">
      <w:pPr>
        <w:pStyle w:val="Bodytext20"/>
        <w:numPr>
          <w:ilvl w:val="0"/>
          <w:numId w:val="2"/>
        </w:numPr>
        <w:shd w:val="clear" w:color="auto" w:fill="auto"/>
        <w:spacing w:before="0" w:after="220" w:line="240" w:lineRule="auto"/>
        <w:ind w:firstLine="0"/>
        <w:rPr>
          <w:sz w:val="24"/>
          <w:szCs w:val="24"/>
        </w:rPr>
      </w:pPr>
      <w:r w:rsidRPr="00A9664D">
        <w:rPr>
          <w:rStyle w:val="Bodytext2Bold0"/>
          <w:sz w:val="24"/>
          <w:szCs w:val="24"/>
        </w:rPr>
        <w:t>Termination</w:t>
      </w:r>
      <w:r w:rsidRPr="00A9664D">
        <w:rPr>
          <w:rStyle w:val="Bodytext2Bold"/>
          <w:sz w:val="24"/>
          <w:szCs w:val="24"/>
        </w:rPr>
        <w:t xml:space="preserve">. </w:t>
      </w:r>
      <w:r w:rsidRPr="00A9664D">
        <w:rPr>
          <w:sz w:val="24"/>
          <w:szCs w:val="24"/>
        </w:rPr>
        <w:t>This agreement will expire and terminate (without relieving the Company of any obligations arising from a prior breach of or non-compliance with this agreement) upon either (i) the issuance of Tokens to the Purchaser pursuant to Section 1(a); or (ii) the payment, or setting aside for payment, of amounts due the P</w:t>
      </w:r>
      <w:r w:rsidR="00834F2F" w:rsidRPr="00A9664D">
        <w:rPr>
          <w:sz w:val="24"/>
          <w:szCs w:val="24"/>
        </w:rPr>
        <w:t>urchaser pursuant to Section 1(b</w:t>
      </w:r>
      <w:r w:rsidRPr="00A9664D">
        <w:rPr>
          <w:sz w:val="24"/>
          <w:szCs w:val="24"/>
        </w:rPr>
        <w:t>).</w:t>
      </w:r>
    </w:p>
    <w:p w14:paraId="7D07ACF7" w14:textId="77777777" w:rsidR="00FF656E" w:rsidRPr="00A9664D" w:rsidRDefault="00D32138" w:rsidP="00D32138">
      <w:pPr>
        <w:pStyle w:val="Bodytext30"/>
        <w:numPr>
          <w:ilvl w:val="0"/>
          <w:numId w:val="1"/>
        </w:numPr>
        <w:shd w:val="clear" w:color="auto" w:fill="auto"/>
        <w:tabs>
          <w:tab w:val="left" w:pos="358"/>
        </w:tabs>
        <w:spacing w:before="0" w:after="204" w:line="240" w:lineRule="auto"/>
        <w:rPr>
          <w:sz w:val="24"/>
          <w:szCs w:val="24"/>
        </w:rPr>
      </w:pPr>
      <w:r w:rsidRPr="00A9664D">
        <w:rPr>
          <w:sz w:val="24"/>
          <w:szCs w:val="24"/>
        </w:rPr>
        <w:t>Definitions</w:t>
      </w:r>
    </w:p>
    <w:p w14:paraId="2A8389AD" w14:textId="77777777" w:rsidR="00FF656E" w:rsidRPr="00A9664D" w:rsidRDefault="00D32138" w:rsidP="00834F2F">
      <w:pPr>
        <w:pStyle w:val="Bodytext20"/>
        <w:shd w:val="clear" w:color="auto" w:fill="auto"/>
        <w:spacing w:before="0" w:line="240" w:lineRule="auto"/>
        <w:ind w:firstLine="0"/>
        <w:rPr>
          <w:sz w:val="24"/>
          <w:szCs w:val="24"/>
        </w:rPr>
      </w:pPr>
      <w:r w:rsidRPr="00A9664D">
        <w:rPr>
          <w:rStyle w:val="Bodytext2Bold"/>
          <w:sz w:val="24"/>
          <w:szCs w:val="24"/>
        </w:rPr>
        <w:t xml:space="preserve">“Acting in Concert” </w:t>
      </w:r>
      <w:r w:rsidRPr="00A9664D">
        <w:rPr>
          <w:sz w:val="24"/>
          <w:szCs w:val="24"/>
        </w:rPr>
        <w:t>has the meaning given to it in the City Code on Takeovers and Mergers published by the Panel on Takeovers and Mergers in force from time to time.</w:t>
      </w:r>
    </w:p>
    <w:p w14:paraId="134574C3" w14:textId="5A0E2DF2" w:rsidR="00FF656E" w:rsidRPr="00A9664D" w:rsidRDefault="00D32138" w:rsidP="00834F2F">
      <w:pPr>
        <w:pStyle w:val="Bodytext20"/>
        <w:shd w:val="clear" w:color="auto" w:fill="auto"/>
        <w:spacing w:before="0" w:after="182" w:line="240" w:lineRule="auto"/>
        <w:ind w:firstLine="0"/>
        <w:rPr>
          <w:sz w:val="24"/>
          <w:szCs w:val="24"/>
        </w:rPr>
      </w:pPr>
      <w:r w:rsidRPr="00A9664D">
        <w:rPr>
          <w:rStyle w:val="Bodytext2Bold"/>
          <w:sz w:val="24"/>
          <w:szCs w:val="24"/>
        </w:rPr>
        <w:t xml:space="preserve">“Capital Shares” </w:t>
      </w:r>
      <w:r w:rsidRPr="00A9664D">
        <w:rPr>
          <w:sz w:val="24"/>
          <w:szCs w:val="24"/>
        </w:rPr>
        <w:t>means the share capital of the Company</w:t>
      </w:r>
      <w:r w:rsidR="00834F2F" w:rsidRPr="00A9664D">
        <w:rPr>
          <w:sz w:val="24"/>
          <w:szCs w:val="24"/>
        </w:rPr>
        <w:t>.</w:t>
      </w:r>
    </w:p>
    <w:p w14:paraId="6A9D182E" w14:textId="00E82F42" w:rsidR="00FF656E" w:rsidRPr="00A9664D" w:rsidRDefault="00D32138" w:rsidP="00834F2F">
      <w:pPr>
        <w:pStyle w:val="Bodytext20"/>
        <w:shd w:val="clear" w:color="auto" w:fill="auto"/>
        <w:spacing w:before="0" w:after="178" w:line="240" w:lineRule="auto"/>
        <w:ind w:firstLine="0"/>
        <w:rPr>
          <w:sz w:val="24"/>
          <w:szCs w:val="24"/>
        </w:rPr>
      </w:pPr>
      <w:r w:rsidRPr="00A9664D">
        <w:rPr>
          <w:rStyle w:val="Bodytext2Bold"/>
          <w:sz w:val="24"/>
          <w:szCs w:val="24"/>
        </w:rPr>
        <w:t xml:space="preserve">“Change of Control” </w:t>
      </w:r>
      <w:r w:rsidRPr="00A9664D">
        <w:rPr>
          <w:sz w:val="24"/>
          <w:szCs w:val="24"/>
        </w:rPr>
        <w:t xml:space="preserve">means (i) a transaction or series of related transactions in which more than </w:t>
      </w:r>
      <w:r w:rsidR="00834F2F" w:rsidRPr="00A9664D">
        <w:rPr>
          <w:sz w:val="24"/>
          <w:szCs w:val="24"/>
        </w:rPr>
        <w:t>fifty per cent (50</w:t>
      </w:r>
      <w:r w:rsidRPr="00A9664D">
        <w:rPr>
          <w:sz w:val="24"/>
          <w:szCs w:val="24"/>
        </w:rPr>
        <w:t>%) of the voting rights attaching to the Capital Shares of the Company are sold or are to be sold to one person or group of persons Acting in Concert; or (ii) a sale, lease or other disposition of all or substantially all of the assets of the Company.</w:t>
      </w:r>
    </w:p>
    <w:p w14:paraId="27B59785" w14:textId="44F6DCFC" w:rsidR="00FF656E" w:rsidRPr="00A9664D" w:rsidRDefault="00D32138" w:rsidP="00834F2F">
      <w:pPr>
        <w:pStyle w:val="Bodytext20"/>
        <w:shd w:val="clear" w:color="auto" w:fill="auto"/>
        <w:spacing w:before="0" w:line="240" w:lineRule="auto"/>
        <w:ind w:firstLine="0"/>
        <w:rPr>
          <w:sz w:val="24"/>
          <w:szCs w:val="24"/>
        </w:rPr>
      </w:pPr>
      <w:r w:rsidRPr="00A9664D">
        <w:rPr>
          <w:rStyle w:val="Bodytext2Bold"/>
          <w:sz w:val="24"/>
          <w:szCs w:val="24"/>
        </w:rPr>
        <w:t>“</w:t>
      </w:r>
      <w:r w:rsidR="00F04550">
        <w:rPr>
          <w:rStyle w:val="Bodytext2Bold"/>
          <w:sz w:val="24"/>
          <w:szCs w:val="24"/>
        </w:rPr>
        <w:t>Tokenb</w:t>
      </w:r>
      <w:r w:rsidR="00834F2F" w:rsidRPr="00A9664D">
        <w:rPr>
          <w:rStyle w:val="Bodytext2Bold"/>
          <w:sz w:val="24"/>
          <w:szCs w:val="24"/>
        </w:rPr>
        <w:t xml:space="preserve">ox </w:t>
      </w:r>
      <w:r w:rsidRPr="00A9664D">
        <w:rPr>
          <w:rStyle w:val="Bodytext2Bold"/>
          <w:sz w:val="24"/>
          <w:szCs w:val="24"/>
        </w:rPr>
        <w:t xml:space="preserve">Project” </w:t>
      </w:r>
      <w:r w:rsidRPr="00A9664D">
        <w:rPr>
          <w:sz w:val="24"/>
          <w:szCs w:val="24"/>
        </w:rPr>
        <w:t xml:space="preserve">means a suite of smart contracts built on the </w:t>
      </w:r>
      <w:r w:rsidR="00834F2F" w:rsidRPr="00A9664D">
        <w:rPr>
          <w:sz w:val="24"/>
          <w:szCs w:val="24"/>
        </w:rPr>
        <w:t>Ethereum</w:t>
      </w:r>
      <w:r w:rsidRPr="00A9664D">
        <w:rPr>
          <w:sz w:val="24"/>
          <w:szCs w:val="24"/>
        </w:rPr>
        <w:t xml:space="preserve"> Network which </w:t>
      </w:r>
      <w:r w:rsidR="00834F2F" w:rsidRPr="00A9664D">
        <w:rPr>
          <w:sz w:val="24"/>
          <w:szCs w:val="24"/>
        </w:rPr>
        <w:t xml:space="preserve">governs the decentralized, blockchain driven </w:t>
      </w:r>
      <w:r w:rsidR="00A442FB" w:rsidRPr="00A9664D">
        <w:rPr>
          <w:sz w:val="24"/>
          <w:szCs w:val="24"/>
        </w:rPr>
        <w:t xml:space="preserve">technology platform for asset management. </w:t>
      </w:r>
    </w:p>
    <w:p w14:paraId="7C8297FD" w14:textId="66DA3657" w:rsidR="00FF656E" w:rsidRPr="00A9664D" w:rsidRDefault="00A442FB" w:rsidP="00A442FB">
      <w:pPr>
        <w:pStyle w:val="Bodytext20"/>
        <w:shd w:val="clear" w:color="auto" w:fill="auto"/>
        <w:spacing w:before="0" w:after="182"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“Discount Price” </w:t>
      </w:r>
      <w:r w:rsidR="00D32138" w:rsidRPr="00A9664D">
        <w:rPr>
          <w:sz w:val="24"/>
          <w:szCs w:val="24"/>
        </w:rPr>
        <w:t>means (i) the price per share of the Equity Financing Shares sold in the Equity Financing divided by the Discount Rate, or (ii) the price per token of the Token sold in the Qualifying Token Sale divided by the Discount Rate.</w:t>
      </w:r>
    </w:p>
    <w:p w14:paraId="390DBA79" w14:textId="77777777" w:rsidR="00FF656E" w:rsidRPr="00A9664D" w:rsidRDefault="00D32138" w:rsidP="00A442FB">
      <w:pPr>
        <w:pStyle w:val="Bodytext20"/>
        <w:shd w:val="clear" w:color="auto" w:fill="auto"/>
        <w:spacing w:before="0" w:after="0" w:line="240" w:lineRule="auto"/>
        <w:ind w:firstLine="0"/>
        <w:rPr>
          <w:sz w:val="24"/>
          <w:szCs w:val="24"/>
        </w:rPr>
      </w:pPr>
      <w:r w:rsidRPr="00A9664D">
        <w:rPr>
          <w:rStyle w:val="Bodytext2Bold"/>
          <w:sz w:val="24"/>
          <w:szCs w:val="24"/>
        </w:rPr>
        <w:t xml:space="preserve">“Distribution” </w:t>
      </w:r>
      <w:r w:rsidRPr="00A9664D">
        <w:rPr>
          <w:sz w:val="24"/>
          <w:szCs w:val="24"/>
        </w:rPr>
        <w:t>means the transfer to holders of Capital Shares by reason of their ownership thereof of cash or other property without consideration whether by way of dividend or otherwise, other than dividends on ordinary shares payable in ordinary shares, or the purchase or redemption of Capital Shares by the Company or its subsidiaries for cash or property other than: (i) repurchases of ordinary shares held by employees, officers, directors or consultants of the Company or its subsidiaries pursuant to an agreement providing, as applicable, a right of first refusal or a right to repurchase shares upon termination of such service provider’s employment or services; or (ii) repurchases of Capital Shares in connection</w:t>
      </w:r>
      <w:r w:rsidR="00D46DD7" w:rsidRPr="00A9664D">
        <w:rPr>
          <w:sz w:val="24"/>
          <w:szCs w:val="24"/>
        </w:rPr>
        <w:t xml:space="preserve"> </w:t>
      </w:r>
      <w:r w:rsidRPr="00A9664D">
        <w:rPr>
          <w:sz w:val="24"/>
          <w:szCs w:val="24"/>
        </w:rPr>
        <w:t>with the settlement of disputes with any shareholder.</w:t>
      </w:r>
    </w:p>
    <w:p w14:paraId="5EB78DA5" w14:textId="77777777" w:rsidR="00D46DD7" w:rsidRPr="00A9664D" w:rsidRDefault="00D46DD7" w:rsidP="00D46DD7">
      <w:pPr>
        <w:pStyle w:val="Bodytext20"/>
        <w:shd w:val="clear" w:color="auto" w:fill="auto"/>
        <w:spacing w:before="0" w:after="0" w:line="240" w:lineRule="auto"/>
        <w:ind w:firstLine="368"/>
        <w:rPr>
          <w:sz w:val="24"/>
          <w:szCs w:val="24"/>
        </w:rPr>
      </w:pPr>
    </w:p>
    <w:p w14:paraId="42C1DD0A" w14:textId="77777777" w:rsidR="00FF656E" w:rsidRPr="00A9664D" w:rsidRDefault="00D32138" w:rsidP="00A442FB">
      <w:pPr>
        <w:pStyle w:val="Bodytext20"/>
        <w:shd w:val="clear" w:color="auto" w:fill="auto"/>
        <w:spacing w:before="0" w:line="240" w:lineRule="auto"/>
        <w:ind w:firstLine="0"/>
        <w:rPr>
          <w:sz w:val="24"/>
          <w:szCs w:val="24"/>
        </w:rPr>
      </w:pPr>
      <w:r w:rsidRPr="00A9664D">
        <w:rPr>
          <w:rStyle w:val="Bodytext2Bold"/>
          <w:sz w:val="24"/>
          <w:szCs w:val="24"/>
        </w:rPr>
        <w:t xml:space="preserve">“Dissolution Event” </w:t>
      </w:r>
      <w:r w:rsidRPr="00A9664D">
        <w:rPr>
          <w:sz w:val="24"/>
          <w:szCs w:val="24"/>
        </w:rPr>
        <w:t xml:space="preserve">means (i) a voluntary termination of operations, (ii) a general assignment for the benefit of the Company’s creditors or (iii) any other liquidation, dissolution or winding up of the Company </w:t>
      </w:r>
      <w:r w:rsidRPr="00A9664D">
        <w:rPr>
          <w:rStyle w:val="Bodytext2Bold"/>
          <w:sz w:val="24"/>
          <w:szCs w:val="24"/>
        </w:rPr>
        <w:t>(</w:t>
      </w:r>
      <w:r w:rsidRPr="00A9664D">
        <w:rPr>
          <w:rStyle w:val="Bodytext2Bold0"/>
          <w:sz w:val="24"/>
          <w:szCs w:val="24"/>
        </w:rPr>
        <w:t>excluding</w:t>
      </w:r>
      <w:r w:rsidRPr="00A9664D">
        <w:rPr>
          <w:rStyle w:val="Bodytext2Bold"/>
          <w:sz w:val="24"/>
          <w:szCs w:val="24"/>
        </w:rPr>
        <w:t xml:space="preserve"> </w:t>
      </w:r>
      <w:r w:rsidRPr="00A9664D">
        <w:rPr>
          <w:sz w:val="24"/>
          <w:szCs w:val="24"/>
        </w:rPr>
        <w:t>a Liquidity Event), whether voluntary or involuntary.</w:t>
      </w:r>
    </w:p>
    <w:p w14:paraId="007A7783" w14:textId="101AA4D3" w:rsidR="00FF656E" w:rsidRPr="00A9664D" w:rsidRDefault="00A442FB" w:rsidP="00A442FB">
      <w:pPr>
        <w:pStyle w:val="Bodytext20"/>
        <w:shd w:val="clear" w:color="auto" w:fill="auto"/>
        <w:spacing w:before="0" w:after="206"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“Liquidity Event” </w:t>
      </w:r>
      <w:r w:rsidR="00D32138" w:rsidRPr="00A9664D">
        <w:rPr>
          <w:sz w:val="24"/>
          <w:szCs w:val="24"/>
        </w:rPr>
        <w:t>means a Change of Control or a Listing.</w:t>
      </w:r>
    </w:p>
    <w:p w14:paraId="75478520" w14:textId="183E4701" w:rsidR="00FF656E" w:rsidRPr="00A9664D" w:rsidRDefault="00D32138" w:rsidP="00A442FB">
      <w:pPr>
        <w:pStyle w:val="Bodytext20"/>
        <w:shd w:val="clear" w:color="auto" w:fill="auto"/>
        <w:spacing w:before="0" w:after="178" w:line="240" w:lineRule="auto"/>
        <w:ind w:firstLine="0"/>
        <w:rPr>
          <w:sz w:val="24"/>
          <w:szCs w:val="24"/>
        </w:rPr>
      </w:pPr>
      <w:r w:rsidRPr="00A9664D">
        <w:rPr>
          <w:rStyle w:val="Bodytext2Bold"/>
          <w:sz w:val="24"/>
          <w:szCs w:val="24"/>
        </w:rPr>
        <w:t xml:space="preserve">“Liquidity Price” </w:t>
      </w:r>
      <w:r w:rsidRPr="00A9664D">
        <w:rPr>
          <w:sz w:val="24"/>
          <w:szCs w:val="24"/>
        </w:rPr>
        <w:t xml:space="preserve">means the price per share equal to: the fair market value of the </w:t>
      </w:r>
      <w:r w:rsidR="002D3F05" w:rsidRPr="00A9664D">
        <w:rPr>
          <w:sz w:val="24"/>
          <w:szCs w:val="24"/>
        </w:rPr>
        <w:t>SAFT</w:t>
      </w:r>
      <w:r w:rsidRPr="00A9664D">
        <w:rPr>
          <w:sz w:val="24"/>
          <w:szCs w:val="24"/>
        </w:rPr>
        <w:t xml:space="preserve"> Shares at the time of the Liquidity Event, as determined by reference to the purchase price payable in connection with such Liquidity Event, divided by the Discount Rate.</w:t>
      </w:r>
    </w:p>
    <w:p w14:paraId="53CB00BB" w14:textId="5710533A" w:rsidR="00FF656E" w:rsidRPr="00A9664D" w:rsidRDefault="00D32138" w:rsidP="002D3F05">
      <w:pPr>
        <w:pStyle w:val="Bodytext20"/>
        <w:shd w:val="clear" w:color="auto" w:fill="auto"/>
        <w:spacing w:before="0" w:after="178" w:line="240" w:lineRule="auto"/>
        <w:ind w:firstLine="0"/>
        <w:rPr>
          <w:sz w:val="24"/>
          <w:szCs w:val="24"/>
        </w:rPr>
      </w:pPr>
      <w:r w:rsidRPr="00A9664D">
        <w:rPr>
          <w:rStyle w:val="Bodytext2Bold"/>
          <w:sz w:val="24"/>
          <w:szCs w:val="24"/>
        </w:rPr>
        <w:t xml:space="preserve">“Listing” </w:t>
      </w:r>
      <w:r w:rsidRPr="00A9664D">
        <w:rPr>
          <w:sz w:val="24"/>
          <w:szCs w:val="24"/>
        </w:rPr>
        <w:t xml:space="preserve">means a listing of the Capital Shares on a </w:t>
      </w:r>
      <w:r w:rsidR="002D3F05" w:rsidRPr="00A9664D">
        <w:rPr>
          <w:sz w:val="24"/>
          <w:szCs w:val="24"/>
        </w:rPr>
        <w:t>recognized</w:t>
      </w:r>
      <w:r w:rsidRPr="00A9664D">
        <w:rPr>
          <w:sz w:val="24"/>
          <w:szCs w:val="24"/>
        </w:rPr>
        <w:t xml:space="preserve"> stock exchange or other active secondary market.</w:t>
      </w:r>
    </w:p>
    <w:p w14:paraId="2DE7DEBA" w14:textId="77777777" w:rsidR="00FF656E" w:rsidRPr="00A9664D" w:rsidRDefault="00D32138" w:rsidP="002D3F05">
      <w:pPr>
        <w:pStyle w:val="Bodytext20"/>
        <w:shd w:val="clear" w:color="auto" w:fill="auto"/>
        <w:spacing w:before="0" w:line="240" w:lineRule="auto"/>
        <w:ind w:firstLine="0"/>
        <w:rPr>
          <w:sz w:val="24"/>
          <w:szCs w:val="24"/>
        </w:rPr>
      </w:pPr>
      <w:r w:rsidRPr="00A9664D">
        <w:rPr>
          <w:rStyle w:val="Bodytext2Bold"/>
          <w:sz w:val="24"/>
          <w:szCs w:val="24"/>
        </w:rPr>
        <w:lastRenderedPageBreak/>
        <w:t xml:space="preserve">“Investment Amount” </w:t>
      </w:r>
      <w:r w:rsidRPr="00A9664D">
        <w:rPr>
          <w:sz w:val="24"/>
          <w:szCs w:val="24"/>
        </w:rPr>
        <w:t>means the amounts paid by the Purchaser to the Company pursuant to this agreement.</w:t>
      </w:r>
    </w:p>
    <w:p w14:paraId="3358426A" w14:textId="24582BA0" w:rsidR="00FF656E" w:rsidRPr="00A9664D" w:rsidRDefault="00D32138" w:rsidP="002D3F05">
      <w:pPr>
        <w:pStyle w:val="Bodytext20"/>
        <w:shd w:val="clear" w:color="auto" w:fill="auto"/>
        <w:spacing w:before="0" w:after="182" w:line="240" w:lineRule="auto"/>
        <w:ind w:firstLine="0"/>
        <w:rPr>
          <w:sz w:val="24"/>
          <w:szCs w:val="24"/>
        </w:rPr>
      </w:pPr>
      <w:r w:rsidRPr="00A9664D">
        <w:rPr>
          <w:rStyle w:val="Bodytext2Bold"/>
          <w:sz w:val="24"/>
          <w:szCs w:val="24"/>
        </w:rPr>
        <w:t xml:space="preserve">“Nominated Entity” </w:t>
      </w:r>
      <w:r w:rsidRPr="00A9664D">
        <w:rPr>
          <w:sz w:val="24"/>
          <w:szCs w:val="24"/>
        </w:rPr>
        <w:t xml:space="preserve">means a company or other </w:t>
      </w:r>
      <w:r w:rsidR="002D3F05" w:rsidRPr="00A9664D">
        <w:rPr>
          <w:sz w:val="24"/>
          <w:szCs w:val="24"/>
        </w:rPr>
        <w:t>organization</w:t>
      </w:r>
      <w:r w:rsidRPr="00A9664D">
        <w:rPr>
          <w:sz w:val="24"/>
          <w:szCs w:val="24"/>
        </w:rPr>
        <w:t>, nominated by the Company to operate the Qualifying Token Sale.</w:t>
      </w:r>
    </w:p>
    <w:p w14:paraId="6C8CE7A0" w14:textId="025F42F9" w:rsidR="00FF656E" w:rsidRPr="00A9664D" w:rsidRDefault="002D3F05" w:rsidP="002D3F05">
      <w:pPr>
        <w:pStyle w:val="Bodytext20"/>
        <w:shd w:val="clear" w:color="auto" w:fill="auto"/>
        <w:spacing w:before="0" w:after="178" w:line="240" w:lineRule="auto"/>
        <w:ind w:firstLine="0"/>
        <w:rPr>
          <w:sz w:val="24"/>
          <w:szCs w:val="24"/>
        </w:rPr>
      </w:pPr>
      <w:r w:rsidRPr="00A9664D">
        <w:rPr>
          <w:rStyle w:val="Bodytext2Bold"/>
          <w:sz w:val="24"/>
          <w:szCs w:val="24"/>
        </w:rPr>
        <w:t xml:space="preserve"> </w:t>
      </w:r>
      <w:r w:rsidR="00D32138" w:rsidRPr="00A9664D">
        <w:rPr>
          <w:rStyle w:val="Bodytext2Bold"/>
          <w:sz w:val="24"/>
          <w:szCs w:val="24"/>
        </w:rPr>
        <w:t xml:space="preserve">“Qualifying Token Sale” </w:t>
      </w:r>
      <w:r w:rsidR="00D32138" w:rsidRPr="00A9664D">
        <w:rPr>
          <w:sz w:val="24"/>
          <w:szCs w:val="24"/>
        </w:rPr>
        <w:t>means the operation by the Company or any subsidiary thereof of a public sale of cryptographic tokens necessary for the operation of the</w:t>
      </w:r>
      <w:r w:rsidR="00F04550">
        <w:rPr>
          <w:sz w:val="24"/>
          <w:szCs w:val="24"/>
        </w:rPr>
        <w:t xml:space="preserve"> Tokenb</w:t>
      </w:r>
      <w:r w:rsidRPr="00A9664D">
        <w:rPr>
          <w:sz w:val="24"/>
          <w:szCs w:val="24"/>
        </w:rPr>
        <w:t>ox Project.</w:t>
      </w:r>
    </w:p>
    <w:p w14:paraId="5C07205D" w14:textId="21424471" w:rsidR="00D46DD7" w:rsidRPr="00A9664D" w:rsidRDefault="002D3F05" w:rsidP="002D3F05">
      <w:pPr>
        <w:pStyle w:val="Bodytext20"/>
        <w:shd w:val="clear" w:color="auto" w:fill="auto"/>
        <w:spacing w:before="0" w:after="182" w:line="240" w:lineRule="auto"/>
        <w:ind w:firstLine="0"/>
        <w:rPr>
          <w:sz w:val="24"/>
          <w:szCs w:val="24"/>
        </w:rPr>
      </w:pPr>
      <w:r w:rsidRPr="00A9664D">
        <w:rPr>
          <w:rStyle w:val="Bodytext2Bold"/>
          <w:sz w:val="24"/>
          <w:szCs w:val="24"/>
        </w:rPr>
        <w:t>“SAFT</w:t>
      </w:r>
      <w:r w:rsidR="00D46DD7" w:rsidRPr="00A9664D">
        <w:rPr>
          <w:rStyle w:val="Bodytext2Bold"/>
          <w:sz w:val="24"/>
          <w:szCs w:val="24"/>
        </w:rPr>
        <w:t>”</w:t>
      </w:r>
      <w:r w:rsidR="00D32138" w:rsidRPr="00A9664D">
        <w:rPr>
          <w:rStyle w:val="Bodytext2Bold"/>
          <w:sz w:val="24"/>
          <w:szCs w:val="24"/>
        </w:rPr>
        <w:t xml:space="preserve"> </w:t>
      </w:r>
      <w:r w:rsidR="00D32138" w:rsidRPr="00A9664D">
        <w:rPr>
          <w:sz w:val="24"/>
          <w:szCs w:val="24"/>
        </w:rPr>
        <w:t xml:space="preserve">means an agreement containing a future right to </w:t>
      </w:r>
      <w:r w:rsidRPr="00A9664D">
        <w:rPr>
          <w:sz w:val="24"/>
          <w:szCs w:val="24"/>
        </w:rPr>
        <w:t>cryptographic tokens</w:t>
      </w:r>
      <w:r w:rsidR="00D32138" w:rsidRPr="00A9664D">
        <w:rPr>
          <w:sz w:val="24"/>
          <w:szCs w:val="24"/>
        </w:rPr>
        <w:t xml:space="preserve">, similar in form and content to this agreement, purchased by Purchasers for the purpose of funding the </w:t>
      </w:r>
      <w:r w:rsidR="00F04550">
        <w:rPr>
          <w:sz w:val="24"/>
          <w:szCs w:val="24"/>
        </w:rPr>
        <w:t>Tokenb</w:t>
      </w:r>
      <w:r w:rsidRPr="00A9664D">
        <w:rPr>
          <w:sz w:val="24"/>
          <w:szCs w:val="24"/>
        </w:rPr>
        <w:t>ox Project</w:t>
      </w:r>
      <w:r w:rsidR="00D32138" w:rsidRPr="00A9664D">
        <w:rPr>
          <w:sz w:val="24"/>
          <w:szCs w:val="24"/>
        </w:rPr>
        <w:t>.</w:t>
      </w:r>
      <w:r w:rsidR="00D46DD7" w:rsidRPr="00A9664D">
        <w:rPr>
          <w:sz w:val="24"/>
          <w:szCs w:val="24"/>
        </w:rPr>
        <w:t xml:space="preserve"> </w:t>
      </w:r>
    </w:p>
    <w:p w14:paraId="1871777D" w14:textId="53842E10" w:rsidR="00FF656E" w:rsidRPr="00A9664D" w:rsidRDefault="00D32138" w:rsidP="002D3F05">
      <w:pPr>
        <w:pStyle w:val="Bodytext20"/>
        <w:shd w:val="clear" w:color="auto" w:fill="auto"/>
        <w:spacing w:before="0" w:after="220" w:line="240" w:lineRule="auto"/>
        <w:ind w:firstLine="0"/>
        <w:rPr>
          <w:sz w:val="24"/>
          <w:szCs w:val="24"/>
        </w:rPr>
      </w:pPr>
      <w:r w:rsidRPr="00A9664D">
        <w:rPr>
          <w:rStyle w:val="Bodytext2Bold"/>
          <w:sz w:val="24"/>
          <w:szCs w:val="24"/>
        </w:rPr>
        <w:t xml:space="preserve">“Token Sale” </w:t>
      </w:r>
      <w:r w:rsidRPr="00A9664D">
        <w:rPr>
          <w:sz w:val="24"/>
          <w:szCs w:val="24"/>
        </w:rPr>
        <w:t xml:space="preserve">means the public sale of cryptographic tokens in the </w:t>
      </w:r>
      <w:r w:rsidR="00F04550">
        <w:rPr>
          <w:sz w:val="24"/>
          <w:szCs w:val="24"/>
        </w:rPr>
        <w:t>Tokenb</w:t>
      </w:r>
      <w:r w:rsidR="002D3F05" w:rsidRPr="00A9664D">
        <w:rPr>
          <w:sz w:val="24"/>
          <w:szCs w:val="24"/>
        </w:rPr>
        <w:t xml:space="preserve">ox Project. </w:t>
      </w:r>
    </w:p>
    <w:p w14:paraId="5401B8DF" w14:textId="77777777" w:rsidR="00FF656E" w:rsidRPr="00A9664D" w:rsidRDefault="00D32138" w:rsidP="00D32138">
      <w:pPr>
        <w:pStyle w:val="Bodytext30"/>
        <w:numPr>
          <w:ilvl w:val="0"/>
          <w:numId w:val="1"/>
        </w:numPr>
        <w:shd w:val="clear" w:color="auto" w:fill="auto"/>
        <w:tabs>
          <w:tab w:val="left" w:pos="346"/>
        </w:tabs>
        <w:spacing w:before="0" w:after="206" w:line="240" w:lineRule="auto"/>
        <w:ind w:firstLine="39"/>
        <w:rPr>
          <w:sz w:val="24"/>
          <w:szCs w:val="24"/>
        </w:rPr>
      </w:pPr>
      <w:r w:rsidRPr="00A9664D">
        <w:rPr>
          <w:sz w:val="24"/>
          <w:szCs w:val="24"/>
        </w:rPr>
        <w:t>Company Representations</w:t>
      </w:r>
    </w:p>
    <w:p w14:paraId="611E2145" w14:textId="5A39DDCA" w:rsidR="00FF656E" w:rsidRPr="00A9664D" w:rsidRDefault="00D32138" w:rsidP="002D3F05">
      <w:pPr>
        <w:pStyle w:val="Bodytext20"/>
        <w:numPr>
          <w:ilvl w:val="0"/>
          <w:numId w:val="4"/>
        </w:numPr>
        <w:shd w:val="clear" w:color="auto" w:fill="auto"/>
        <w:tabs>
          <w:tab w:val="left" w:pos="700"/>
        </w:tabs>
        <w:spacing w:before="0" w:line="240" w:lineRule="auto"/>
        <w:ind w:firstLine="0"/>
        <w:rPr>
          <w:sz w:val="24"/>
          <w:szCs w:val="24"/>
        </w:rPr>
      </w:pPr>
      <w:r w:rsidRPr="00A9664D">
        <w:rPr>
          <w:sz w:val="24"/>
          <w:szCs w:val="24"/>
        </w:rPr>
        <w:t xml:space="preserve">The Company is duly incorporated and validly existing under the laws of </w:t>
      </w:r>
      <w:r w:rsidR="00D21665" w:rsidRPr="00A9664D">
        <w:rPr>
          <w:rStyle w:val="Bodytext2Bold"/>
          <w:b w:val="0"/>
          <w:sz w:val="24"/>
          <w:szCs w:val="24"/>
        </w:rPr>
        <w:t>Cayman Islands</w:t>
      </w:r>
      <w:r w:rsidR="002D3F05" w:rsidRPr="00A9664D">
        <w:rPr>
          <w:sz w:val="24"/>
          <w:szCs w:val="24"/>
        </w:rPr>
        <w:t xml:space="preserve">, </w:t>
      </w:r>
      <w:r w:rsidRPr="00A9664D">
        <w:rPr>
          <w:sz w:val="24"/>
          <w:szCs w:val="24"/>
        </w:rPr>
        <w:t>and has the power and authority to own, lease and operate its properties and carry on its business as now conducted.</w:t>
      </w:r>
    </w:p>
    <w:p w14:paraId="5BEF413C" w14:textId="77777777" w:rsidR="00FF656E" w:rsidRPr="00A9664D" w:rsidRDefault="00D32138" w:rsidP="002D3F05">
      <w:pPr>
        <w:pStyle w:val="Bodytext20"/>
        <w:numPr>
          <w:ilvl w:val="0"/>
          <w:numId w:val="4"/>
        </w:numPr>
        <w:shd w:val="clear" w:color="auto" w:fill="auto"/>
        <w:tabs>
          <w:tab w:val="left" w:pos="702"/>
        </w:tabs>
        <w:spacing w:before="0" w:line="240" w:lineRule="auto"/>
        <w:ind w:firstLine="0"/>
        <w:rPr>
          <w:sz w:val="24"/>
          <w:szCs w:val="24"/>
        </w:rPr>
      </w:pPr>
      <w:r w:rsidRPr="00A9664D">
        <w:rPr>
          <w:sz w:val="24"/>
          <w:szCs w:val="24"/>
        </w:rPr>
        <w:t>The execution, delivery and performance by the Company of this agreement is within the power of the Company and, other than with respect to the actions to be taken when equity is to be issued to the Purchaser, has been duly authorized by all necessary actions on the part of the Company. This agreement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the knowledge of the Company, it is not in violation of (i) its current certificate of incorporation or articles of association, (ii) any material statute, rule or regulation applicable to the Company or (iii) any material indenture or contract to which the Company is a party or by which it is bound, where, in each case, such violation or default, individually, or together with all such violations or defaults, could reasonably be expected to have a material adverse effect on the Company.</w:t>
      </w:r>
    </w:p>
    <w:p w14:paraId="04A68D97" w14:textId="77777777" w:rsidR="00FF656E" w:rsidRPr="00A9664D" w:rsidRDefault="00D32138" w:rsidP="002D3F05">
      <w:pPr>
        <w:pStyle w:val="Bodytext20"/>
        <w:numPr>
          <w:ilvl w:val="0"/>
          <w:numId w:val="4"/>
        </w:numPr>
        <w:shd w:val="clear" w:color="auto" w:fill="auto"/>
        <w:tabs>
          <w:tab w:val="left" w:pos="702"/>
        </w:tabs>
        <w:spacing w:before="0" w:after="182" w:line="240" w:lineRule="auto"/>
        <w:ind w:firstLine="0"/>
        <w:rPr>
          <w:sz w:val="24"/>
          <w:szCs w:val="24"/>
        </w:rPr>
      </w:pPr>
      <w:r w:rsidRPr="00A9664D">
        <w:rPr>
          <w:sz w:val="24"/>
          <w:szCs w:val="24"/>
        </w:rPr>
        <w:t>The performance and consummation of the transactions contemplated by this agreement do not and will not: (i) violate any material judgment, statute, rule or regulation applicable to the Company; (ii) result in the acceleration of any material indenture or contract to which the Company is a party or by which it is bound; or (iii) result in the creation or imposition of any lien upon any property, asset or revenue of the Company or the suspension, forfeiture, or nonrenewal of any material permit, license or authorization applicable to the Company, its business or operations.</w:t>
      </w:r>
    </w:p>
    <w:p w14:paraId="049297D3" w14:textId="77777777" w:rsidR="00FF656E" w:rsidRPr="00A9664D" w:rsidRDefault="00D32138" w:rsidP="002D3F05">
      <w:pPr>
        <w:pStyle w:val="Bodytext20"/>
        <w:numPr>
          <w:ilvl w:val="0"/>
          <w:numId w:val="4"/>
        </w:numPr>
        <w:shd w:val="clear" w:color="auto" w:fill="auto"/>
        <w:tabs>
          <w:tab w:val="left" w:pos="702"/>
        </w:tabs>
        <w:spacing w:before="0" w:line="240" w:lineRule="auto"/>
        <w:ind w:firstLine="0"/>
        <w:rPr>
          <w:sz w:val="24"/>
          <w:szCs w:val="24"/>
        </w:rPr>
      </w:pPr>
      <w:r w:rsidRPr="00A9664D">
        <w:rPr>
          <w:sz w:val="24"/>
          <w:szCs w:val="24"/>
        </w:rPr>
        <w:t>No consents or approvals are required in connection with the performance of this agreement, other than: (i) the Company’s corporate approvals; (ii) any qualifications or filings under applicable securities laws; and (iii) necessary corporate approvals for the authorization of Capital Shares issuable pursuant to Section 1.</w:t>
      </w:r>
    </w:p>
    <w:p w14:paraId="06D73573" w14:textId="77777777" w:rsidR="00FF656E" w:rsidRPr="00A9664D" w:rsidRDefault="00D32138" w:rsidP="002D3F05">
      <w:pPr>
        <w:pStyle w:val="Bodytext20"/>
        <w:numPr>
          <w:ilvl w:val="0"/>
          <w:numId w:val="4"/>
        </w:numPr>
        <w:shd w:val="clear" w:color="auto" w:fill="auto"/>
        <w:tabs>
          <w:tab w:val="left" w:pos="706"/>
        </w:tabs>
        <w:spacing w:before="0" w:after="218" w:line="240" w:lineRule="auto"/>
        <w:ind w:firstLine="0"/>
        <w:rPr>
          <w:sz w:val="24"/>
          <w:szCs w:val="24"/>
        </w:rPr>
      </w:pPr>
      <w:r w:rsidRPr="00A9664D">
        <w:rPr>
          <w:sz w:val="24"/>
          <w:szCs w:val="24"/>
        </w:rPr>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w:t>
      </w:r>
      <w:r w:rsidRPr="00A9664D">
        <w:rPr>
          <w:sz w:val="24"/>
          <w:szCs w:val="24"/>
        </w:rPr>
        <w:lastRenderedPageBreak/>
        <w:t>necessary for its business as now conducted and as currently proposed to be conducted, without any conflict with, or infringement of the rights of, others.</w:t>
      </w:r>
    </w:p>
    <w:p w14:paraId="3FECABC1" w14:textId="77777777" w:rsidR="00D46DD7" w:rsidRPr="00A9664D" w:rsidRDefault="00D46DD7" w:rsidP="00D46DD7">
      <w:pPr>
        <w:pStyle w:val="Bodytext20"/>
        <w:shd w:val="clear" w:color="auto" w:fill="auto"/>
        <w:tabs>
          <w:tab w:val="left" w:pos="706"/>
        </w:tabs>
        <w:spacing w:before="0" w:after="218" w:line="240" w:lineRule="auto"/>
        <w:ind w:firstLine="0"/>
        <w:rPr>
          <w:sz w:val="24"/>
          <w:szCs w:val="24"/>
        </w:rPr>
      </w:pPr>
    </w:p>
    <w:p w14:paraId="7585CF98" w14:textId="77777777" w:rsidR="00FF656E" w:rsidRPr="00A9664D" w:rsidRDefault="00D32138" w:rsidP="00D32138">
      <w:pPr>
        <w:pStyle w:val="Bodytext30"/>
        <w:numPr>
          <w:ilvl w:val="0"/>
          <w:numId w:val="1"/>
        </w:numPr>
        <w:shd w:val="clear" w:color="auto" w:fill="auto"/>
        <w:tabs>
          <w:tab w:val="left" w:pos="346"/>
        </w:tabs>
        <w:spacing w:before="0" w:after="204" w:line="240" w:lineRule="auto"/>
        <w:ind w:firstLine="39"/>
        <w:rPr>
          <w:sz w:val="24"/>
          <w:szCs w:val="24"/>
        </w:rPr>
      </w:pPr>
      <w:r w:rsidRPr="00A9664D">
        <w:rPr>
          <w:sz w:val="24"/>
          <w:szCs w:val="24"/>
        </w:rPr>
        <w:t>Purchaser Representations</w:t>
      </w:r>
    </w:p>
    <w:p w14:paraId="2979FB2C" w14:textId="77777777" w:rsidR="00FF656E" w:rsidRPr="00A9664D" w:rsidRDefault="00D32138" w:rsidP="002D3F05">
      <w:pPr>
        <w:pStyle w:val="Heading10"/>
        <w:keepNext/>
        <w:keepLines/>
        <w:numPr>
          <w:ilvl w:val="0"/>
          <w:numId w:val="5"/>
        </w:numPr>
        <w:shd w:val="clear" w:color="auto" w:fill="auto"/>
        <w:tabs>
          <w:tab w:val="left" w:pos="700"/>
        </w:tabs>
        <w:spacing w:after="0" w:line="240" w:lineRule="auto"/>
        <w:jc w:val="both"/>
        <w:rPr>
          <w:sz w:val="24"/>
          <w:szCs w:val="24"/>
        </w:rPr>
      </w:pPr>
      <w:bookmarkStart w:id="2" w:name="bookmark3"/>
      <w:r w:rsidRPr="00A9664D">
        <w:rPr>
          <w:sz w:val="24"/>
          <w:szCs w:val="24"/>
        </w:rPr>
        <w:t>The Purchaser has full legal capacity, power and authority to execute and deliver this agreement and to perform its obligations hereunder. This agreement constitutes valid and binding</w:t>
      </w:r>
      <w:bookmarkEnd w:id="2"/>
      <w:r w:rsidR="00D46DD7" w:rsidRPr="00A9664D">
        <w:rPr>
          <w:sz w:val="24"/>
          <w:szCs w:val="24"/>
        </w:rPr>
        <w:t xml:space="preserve"> </w:t>
      </w:r>
      <w:r w:rsidRPr="00A9664D">
        <w:rPr>
          <w:sz w:val="24"/>
          <w:szCs w:val="24"/>
        </w:rPr>
        <w:t>obligation of the Purchaser, enforceable in accordance with its terms, except as limited by bankruptcy, insolvency or other laws of general application relating to or affecting the enforcement of creditors’ rights generally and general principles of equity.</w:t>
      </w:r>
    </w:p>
    <w:p w14:paraId="4978BB33" w14:textId="77777777" w:rsidR="002D3F05" w:rsidRPr="00A9664D" w:rsidRDefault="002D3F05" w:rsidP="002D3F05">
      <w:pPr>
        <w:pStyle w:val="Heading10"/>
        <w:keepNext/>
        <w:keepLines/>
        <w:shd w:val="clear" w:color="auto" w:fill="auto"/>
        <w:tabs>
          <w:tab w:val="left" w:pos="700"/>
        </w:tabs>
        <w:spacing w:after="0" w:line="240" w:lineRule="auto"/>
        <w:ind w:left="373"/>
        <w:jc w:val="both"/>
        <w:rPr>
          <w:sz w:val="24"/>
          <w:szCs w:val="24"/>
        </w:rPr>
      </w:pPr>
    </w:p>
    <w:p w14:paraId="47A591B0" w14:textId="06B66618" w:rsidR="00FF656E" w:rsidRPr="00A9664D" w:rsidRDefault="00D32138" w:rsidP="00BE6A3D">
      <w:pPr>
        <w:pStyle w:val="Bodytext60"/>
        <w:numPr>
          <w:ilvl w:val="0"/>
          <w:numId w:val="5"/>
        </w:numPr>
        <w:shd w:val="clear" w:color="auto" w:fill="auto"/>
        <w:tabs>
          <w:tab w:val="left" w:pos="716"/>
        </w:tabs>
        <w:spacing w:before="0" w:after="220" w:line="240" w:lineRule="auto"/>
        <w:ind w:firstLine="0"/>
        <w:jc w:val="both"/>
        <w:rPr>
          <w:sz w:val="24"/>
          <w:szCs w:val="24"/>
        </w:rPr>
      </w:pPr>
      <w:r w:rsidRPr="00A9664D">
        <w:rPr>
          <w:sz w:val="24"/>
          <w:szCs w:val="24"/>
        </w:rPr>
        <w:t xml:space="preserve">The Purchaser is purchasing this agreement and the </w:t>
      </w:r>
      <w:r w:rsidR="00BE6A3D" w:rsidRPr="00A9664D">
        <w:rPr>
          <w:sz w:val="24"/>
          <w:szCs w:val="24"/>
        </w:rPr>
        <w:t>cryptographic tokens</w:t>
      </w:r>
      <w:r w:rsidRPr="00A9664D">
        <w:rPr>
          <w:sz w:val="24"/>
          <w:szCs w:val="24"/>
        </w:rPr>
        <w:t xml:space="preserve"> to be acquired by the Purchaser hereunder for its own account for </w:t>
      </w:r>
      <w:r w:rsidR="00BE6A3D" w:rsidRPr="00A9664D">
        <w:rPr>
          <w:sz w:val="24"/>
          <w:szCs w:val="24"/>
        </w:rPr>
        <w:t>personal use</w:t>
      </w:r>
      <w:r w:rsidRPr="00A9664D">
        <w:rPr>
          <w:sz w:val="24"/>
          <w:szCs w:val="24"/>
        </w:rPr>
        <w:t xml:space="preserve">, not as a nominee or agent, and not with a view to, or for resale in connection with, the distribution thereof, and the Purchaser has no present intention of selling, granting any participation in, or otherwise distributing the same. The Purchaser has such knowledge and experience in financial and business matters that the Purchaser is capable of evaluating the merits and risks of such </w:t>
      </w:r>
      <w:r w:rsidR="00BE6A3D" w:rsidRPr="00A9664D">
        <w:rPr>
          <w:sz w:val="24"/>
          <w:szCs w:val="24"/>
        </w:rPr>
        <w:t>purchase</w:t>
      </w:r>
      <w:r w:rsidRPr="00A9664D">
        <w:rPr>
          <w:sz w:val="24"/>
          <w:szCs w:val="24"/>
        </w:rPr>
        <w:t xml:space="preserve">, is able to incur a complete loss of such </w:t>
      </w:r>
      <w:r w:rsidR="00BE6A3D" w:rsidRPr="00A9664D">
        <w:rPr>
          <w:sz w:val="24"/>
          <w:szCs w:val="24"/>
        </w:rPr>
        <w:t>purchase amount</w:t>
      </w:r>
      <w:r w:rsidRPr="00A9664D">
        <w:rPr>
          <w:sz w:val="24"/>
          <w:szCs w:val="24"/>
        </w:rPr>
        <w:t xml:space="preserve"> without impairing the Purchaser’s financial condition and is able to bear the economic risk of such </w:t>
      </w:r>
      <w:r w:rsidR="00BE6A3D" w:rsidRPr="00A9664D">
        <w:rPr>
          <w:sz w:val="24"/>
          <w:szCs w:val="24"/>
        </w:rPr>
        <w:t>purchase</w:t>
      </w:r>
      <w:r w:rsidRPr="00A9664D">
        <w:rPr>
          <w:sz w:val="24"/>
          <w:szCs w:val="24"/>
        </w:rPr>
        <w:t xml:space="preserve"> for an indefinite period of time.</w:t>
      </w:r>
    </w:p>
    <w:p w14:paraId="35D2EA73" w14:textId="77777777" w:rsidR="00FF656E" w:rsidRPr="00A9664D" w:rsidRDefault="00D32138" w:rsidP="00D32138">
      <w:pPr>
        <w:pStyle w:val="Bodytext30"/>
        <w:numPr>
          <w:ilvl w:val="0"/>
          <w:numId w:val="1"/>
        </w:numPr>
        <w:shd w:val="clear" w:color="auto" w:fill="auto"/>
        <w:tabs>
          <w:tab w:val="left" w:pos="354"/>
        </w:tabs>
        <w:spacing w:before="0" w:after="206" w:line="240" w:lineRule="auto"/>
        <w:ind w:firstLine="35"/>
        <w:rPr>
          <w:sz w:val="24"/>
          <w:szCs w:val="24"/>
        </w:rPr>
      </w:pPr>
      <w:r w:rsidRPr="00A9664D">
        <w:rPr>
          <w:sz w:val="24"/>
          <w:szCs w:val="24"/>
        </w:rPr>
        <w:t>Miscellaneous</w:t>
      </w:r>
    </w:p>
    <w:p w14:paraId="77790BA0" w14:textId="77777777" w:rsidR="00FF656E" w:rsidRPr="00A9664D" w:rsidRDefault="00D32138" w:rsidP="00AE21AD">
      <w:pPr>
        <w:pStyle w:val="Bodytext20"/>
        <w:numPr>
          <w:ilvl w:val="0"/>
          <w:numId w:val="6"/>
        </w:numPr>
        <w:shd w:val="clear" w:color="auto" w:fill="auto"/>
        <w:tabs>
          <w:tab w:val="left" w:pos="702"/>
        </w:tabs>
        <w:spacing w:before="0" w:line="240" w:lineRule="auto"/>
        <w:ind w:firstLine="0"/>
        <w:rPr>
          <w:sz w:val="24"/>
          <w:szCs w:val="24"/>
        </w:rPr>
      </w:pPr>
      <w:r w:rsidRPr="00A9664D">
        <w:rPr>
          <w:sz w:val="24"/>
          <w:szCs w:val="24"/>
        </w:rPr>
        <w:t>Any provision of this agreement may be amended, waived or modified only upon the written consent of the Company and the Purchaser.</w:t>
      </w:r>
    </w:p>
    <w:p w14:paraId="79BFEEC2" w14:textId="4A9F41DD" w:rsidR="00FF656E" w:rsidRPr="00A9664D" w:rsidRDefault="00D32138" w:rsidP="00AE21AD">
      <w:pPr>
        <w:pStyle w:val="Bodytext20"/>
        <w:numPr>
          <w:ilvl w:val="0"/>
          <w:numId w:val="6"/>
        </w:numPr>
        <w:shd w:val="clear" w:color="auto" w:fill="auto"/>
        <w:tabs>
          <w:tab w:val="left" w:pos="702"/>
        </w:tabs>
        <w:spacing w:before="0" w:line="240" w:lineRule="auto"/>
        <w:ind w:firstLine="0"/>
        <w:rPr>
          <w:sz w:val="24"/>
          <w:szCs w:val="24"/>
        </w:rPr>
      </w:pPr>
      <w:r w:rsidRPr="00A9664D">
        <w:rPr>
          <w:sz w:val="24"/>
          <w:szCs w:val="24"/>
        </w:rPr>
        <w:t xml:space="preserve">Unless otherwise expressly stated herein, all communications under this agreement will be in writing and may be made by letter or email. Any notice required or permitted by this agreement will be deemed sufficient when delivered personally or by overnight courier or sent by email to the relevant address listed on the signature page, or </w:t>
      </w:r>
      <w:r w:rsidR="00AE21AD" w:rsidRPr="00A9664D">
        <w:rPr>
          <w:sz w:val="24"/>
          <w:szCs w:val="24"/>
        </w:rPr>
        <w:t>twenty four (24)</w:t>
      </w:r>
      <w:r w:rsidRPr="00A9664D">
        <w:rPr>
          <w:sz w:val="24"/>
          <w:szCs w:val="24"/>
        </w:rPr>
        <w:t xml:space="preserve"> hours after being deposited in the mail as certified or registered mail with postage prepaid, addressed to the party to be notified at such party’s address listed on the signature page, as subsequently modified by written notice.</w:t>
      </w:r>
    </w:p>
    <w:p w14:paraId="53378F92" w14:textId="77777777" w:rsidR="00FF656E" w:rsidRPr="00A9664D" w:rsidRDefault="00D32138" w:rsidP="00AE21AD">
      <w:pPr>
        <w:pStyle w:val="Bodytext20"/>
        <w:numPr>
          <w:ilvl w:val="0"/>
          <w:numId w:val="6"/>
        </w:numPr>
        <w:shd w:val="clear" w:color="auto" w:fill="auto"/>
        <w:tabs>
          <w:tab w:val="left" w:pos="702"/>
        </w:tabs>
        <w:spacing w:before="0" w:after="182" w:line="240" w:lineRule="auto"/>
        <w:ind w:firstLine="0"/>
        <w:rPr>
          <w:sz w:val="24"/>
          <w:szCs w:val="24"/>
        </w:rPr>
      </w:pPr>
      <w:r w:rsidRPr="00A9664D">
        <w:rPr>
          <w:sz w:val="24"/>
          <w:szCs w:val="24"/>
        </w:rPr>
        <w:t>The Purchaser is not entitled, as a holder of this agreement, to vote or receive dividends or be deemed the holder of Capital Shares for any purpose, nor will anything contained herein be construed to confer on the Purchaser, as such, any of the rights of a shareholder of the Company or any right to vote for the election of directors or upon any matter submitted to shareholders at any meeting thereof, or to give or withhold consent to any corporate action or to receive notice of meetings, or to receive subscription rights or otherwise until shares have been issued upon the terms described herein.</w:t>
      </w:r>
    </w:p>
    <w:p w14:paraId="158BC110" w14:textId="77777777" w:rsidR="00FF656E" w:rsidRPr="00A9664D" w:rsidRDefault="00D32138" w:rsidP="00AE21AD">
      <w:pPr>
        <w:pStyle w:val="Bodytext20"/>
        <w:numPr>
          <w:ilvl w:val="0"/>
          <w:numId w:val="6"/>
        </w:numPr>
        <w:shd w:val="clear" w:color="auto" w:fill="auto"/>
        <w:tabs>
          <w:tab w:val="left" w:pos="702"/>
        </w:tabs>
        <w:spacing w:before="0" w:after="178" w:line="240" w:lineRule="auto"/>
        <w:ind w:firstLine="0"/>
        <w:rPr>
          <w:sz w:val="24"/>
          <w:szCs w:val="24"/>
        </w:rPr>
      </w:pPr>
      <w:r w:rsidRPr="00A9664D">
        <w:rPr>
          <w:sz w:val="24"/>
          <w:szCs w:val="24"/>
        </w:rPr>
        <w:t>Neither this agreement nor the rights contained herein may be assigned, by operation of law or otherwise, by either party without the prior written consent of the other.</w:t>
      </w:r>
    </w:p>
    <w:p w14:paraId="2D7A414E" w14:textId="77777777" w:rsidR="00FF656E" w:rsidRPr="00A9664D" w:rsidRDefault="00D32138" w:rsidP="00AE21AD">
      <w:pPr>
        <w:pStyle w:val="Bodytext20"/>
        <w:numPr>
          <w:ilvl w:val="0"/>
          <w:numId w:val="6"/>
        </w:numPr>
        <w:shd w:val="clear" w:color="auto" w:fill="auto"/>
        <w:tabs>
          <w:tab w:val="left" w:pos="706"/>
        </w:tabs>
        <w:spacing w:before="0" w:after="182" w:line="240" w:lineRule="auto"/>
        <w:ind w:firstLine="0"/>
        <w:rPr>
          <w:sz w:val="24"/>
          <w:szCs w:val="24"/>
        </w:rPr>
      </w:pPr>
      <w:r w:rsidRPr="00A9664D">
        <w:rPr>
          <w:sz w:val="24"/>
          <w:szCs w:val="24"/>
        </w:rPr>
        <w:t xml:space="preserve">In the event any one or more of the provisions of this agreement is for any reason held to be invalid, illegal or unenforceable, in whole or in part or in any respect, or in the event that any </w:t>
      </w:r>
      <w:r w:rsidRPr="00A9664D">
        <w:rPr>
          <w:sz w:val="24"/>
          <w:szCs w:val="24"/>
        </w:rPr>
        <w:lastRenderedPageBreak/>
        <w:t>one or more of the provisions of this agreement operate or would prospectively operate to invalidate this agreement, then and in any such event, such provision(s) only will be deemed null and void and will not affect any other provision of this agreement and the remaining provisions of this agreement will remain operative and in full force and effect and will not be affected, prejudiced, or disturbed thereby.</w:t>
      </w:r>
    </w:p>
    <w:p w14:paraId="4628138B" w14:textId="77777777" w:rsidR="00FF656E" w:rsidRPr="00A9664D" w:rsidRDefault="00D32138" w:rsidP="00AA3829">
      <w:pPr>
        <w:pStyle w:val="Bodytext20"/>
        <w:numPr>
          <w:ilvl w:val="0"/>
          <w:numId w:val="6"/>
        </w:numPr>
        <w:shd w:val="clear" w:color="auto" w:fill="auto"/>
        <w:tabs>
          <w:tab w:val="left" w:pos="704"/>
        </w:tabs>
        <w:spacing w:before="0" w:after="0" w:line="240" w:lineRule="auto"/>
        <w:ind w:firstLine="0"/>
        <w:rPr>
          <w:sz w:val="24"/>
          <w:szCs w:val="24"/>
        </w:rPr>
      </w:pPr>
      <w:r w:rsidRPr="00A9664D">
        <w:rPr>
          <w:sz w:val="24"/>
          <w:szCs w:val="24"/>
        </w:rPr>
        <w:t>This agreement may be executed and delivered in any number of counterparts, each of which when executed and delivered shall constitute a duplicate original, but all the counterparts together shall constitute the one agreement.</w:t>
      </w:r>
    </w:p>
    <w:p w14:paraId="0A829CE8" w14:textId="77777777" w:rsidR="00D46DD7" w:rsidRPr="00A9664D" w:rsidRDefault="00D46DD7" w:rsidP="00D46DD7">
      <w:pPr>
        <w:pStyle w:val="Bodytext20"/>
        <w:shd w:val="clear" w:color="auto" w:fill="auto"/>
        <w:tabs>
          <w:tab w:val="left" w:pos="704"/>
        </w:tabs>
        <w:spacing w:before="0" w:after="0" w:line="240" w:lineRule="auto"/>
        <w:ind w:left="370" w:firstLine="0"/>
        <w:rPr>
          <w:sz w:val="24"/>
          <w:szCs w:val="24"/>
        </w:rPr>
      </w:pPr>
    </w:p>
    <w:p w14:paraId="4FCA28DA" w14:textId="488DD3A6" w:rsidR="00FF656E" w:rsidRPr="00A9664D" w:rsidRDefault="00D32138" w:rsidP="00AA3829">
      <w:pPr>
        <w:pStyle w:val="Bodytext20"/>
        <w:numPr>
          <w:ilvl w:val="0"/>
          <w:numId w:val="6"/>
        </w:numPr>
        <w:shd w:val="clear" w:color="auto" w:fill="auto"/>
        <w:tabs>
          <w:tab w:val="left" w:pos="781"/>
        </w:tabs>
        <w:spacing w:before="0" w:after="222" w:line="240" w:lineRule="auto"/>
        <w:ind w:firstLine="0"/>
        <w:rPr>
          <w:sz w:val="24"/>
          <w:szCs w:val="24"/>
        </w:rPr>
      </w:pPr>
      <w:r w:rsidRPr="00A9664D">
        <w:rPr>
          <w:sz w:val="24"/>
          <w:szCs w:val="24"/>
        </w:rPr>
        <w:t>This agreement, and all rights and obligations her</w:t>
      </w:r>
      <w:r w:rsidR="00AA3829" w:rsidRPr="00A9664D">
        <w:rPr>
          <w:sz w:val="24"/>
          <w:szCs w:val="24"/>
        </w:rPr>
        <w:t xml:space="preserve">eunder, will be governed by and </w:t>
      </w:r>
      <w:r w:rsidRPr="00A9664D">
        <w:rPr>
          <w:sz w:val="24"/>
          <w:szCs w:val="24"/>
        </w:rPr>
        <w:t>construed in accordance with the laws of</w:t>
      </w:r>
      <w:r w:rsidR="00AA3829" w:rsidRPr="00A9664D">
        <w:rPr>
          <w:sz w:val="24"/>
          <w:szCs w:val="24"/>
        </w:rPr>
        <w:t xml:space="preserve"> </w:t>
      </w:r>
      <w:r w:rsidR="00D21665" w:rsidRPr="00A9664D">
        <w:rPr>
          <w:rStyle w:val="Bodytext2Bold"/>
          <w:b w:val="0"/>
          <w:sz w:val="24"/>
          <w:szCs w:val="24"/>
        </w:rPr>
        <w:t>Cayman Islands</w:t>
      </w:r>
      <w:r w:rsidR="00AA3829" w:rsidRPr="00A9664D">
        <w:rPr>
          <w:sz w:val="24"/>
          <w:szCs w:val="24"/>
        </w:rPr>
        <w:t xml:space="preserve">, </w:t>
      </w:r>
      <w:r w:rsidRPr="00A9664D">
        <w:rPr>
          <w:sz w:val="24"/>
          <w:szCs w:val="24"/>
        </w:rPr>
        <w:t>and the courts of</w:t>
      </w:r>
      <w:r w:rsidR="00AA3829" w:rsidRPr="00A9664D">
        <w:rPr>
          <w:sz w:val="24"/>
          <w:szCs w:val="24"/>
        </w:rPr>
        <w:t xml:space="preserve"> </w:t>
      </w:r>
      <w:r w:rsidR="00D21665" w:rsidRPr="00A9664D">
        <w:rPr>
          <w:rStyle w:val="Bodytext2Bold"/>
          <w:b w:val="0"/>
          <w:sz w:val="24"/>
          <w:szCs w:val="24"/>
        </w:rPr>
        <w:t>Cayman Islands</w:t>
      </w:r>
      <w:r w:rsidR="00D21665" w:rsidRPr="00A9664D">
        <w:rPr>
          <w:rStyle w:val="Bodytext2Bold"/>
          <w:sz w:val="24"/>
          <w:szCs w:val="24"/>
        </w:rPr>
        <w:t xml:space="preserve"> </w:t>
      </w:r>
      <w:r w:rsidR="00AA3829" w:rsidRPr="00A9664D">
        <w:rPr>
          <w:sz w:val="24"/>
          <w:szCs w:val="24"/>
        </w:rPr>
        <w:t xml:space="preserve">shall have </w:t>
      </w:r>
      <w:r w:rsidRPr="00A9664D">
        <w:rPr>
          <w:sz w:val="24"/>
          <w:szCs w:val="24"/>
        </w:rPr>
        <w:t>exclusive jurisdiction to settle any dispute arising in connection with this agreement.</w:t>
      </w:r>
    </w:p>
    <w:p w14:paraId="198E125B" w14:textId="77777777" w:rsidR="00FF656E" w:rsidRPr="00D46DD7" w:rsidRDefault="00D46DD7" w:rsidP="00D46DD7">
      <w:pPr>
        <w:jc w:val="center"/>
        <w:rPr>
          <w:rFonts w:ascii="Times New Roman" w:eastAsia="Times New Roman" w:hAnsi="Times New Roman" w:cs="Times New Roman"/>
          <w:i/>
        </w:rPr>
      </w:pPr>
      <w:r w:rsidRPr="00A9664D">
        <w:rPr>
          <w:rFonts w:ascii="Times New Roman" w:eastAsia="Times New Roman" w:hAnsi="Times New Roman" w:cs="Times New Roman"/>
          <w:i/>
        </w:rPr>
        <w:t>[Signature page follows]</w:t>
      </w:r>
    </w:p>
    <w:p w14:paraId="7A62FAC2" w14:textId="77777777" w:rsidR="00D46DD7" w:rsidRDefault="00D46DD7">
      <w:pPr>
        <w:rPr>
          <w:rFonts w:ascii="Times New Roman" w:eastAsia="Times New Roman" w:hAnsi="Times New Roman" w:cs="Times New Roman"/>
        </w:rPr>
      </w:pPr>
      <w:r>
        <w:rPr>
          <w:rFonts w:ascii="Times New Roman" w:eastAsia="Times New Roman" w:hAnsi="Times New Roman" w:cs="Times New Roman"/>
        </w:rPr>
        <w:br w:type="page"/>
      </w:r>
    </w:p>
    <w:p w14:paraId="423ACC2D" w14:textId="77777777" w:rsidR="00D46DD7" w:rsidRPr="00D46DD7" w:rsidRDefault="00D46DD7" w:rsidP="00D46DD7">
      <w:pPr>
        <w:jc w:val="center"/>
        <w:rPr>
          <w:rFonts w:ascii="Times New Roman" w:eastAsia="Times New Roman" w:hAnsi="Times New Roman" w:cs="Times New Roman"/>
        </w:rPr>
      </w:pPr>
    </w:p>
    <w:p w14:paraId="64B7C32C" w14:textId="77777777" w:rsidR="00FF656E" w:rsidRDefault="00D32138" w:rsidP="00D46DD7">
      <w:pPr>
        <w:pStyle w:val="Bodytext20"/>
        <w:shd w:val="clear" w:color="auto" w:fill="auto"/>
        <w:spacing w:before="0" w:after="220" w:line="240" w:lineRule="auto"/>
        <w:ind w:right="560" w:firstLine="720"/>
        <w:jc w:val="left"/>
        <w:rPr>
          <w:sz w:val="24"/>
          <w:szCs w:val="24"/>
        </w:rPr>
      </w:pPr>
      <w:r w:rsidRPr="00D32138">
        <w:rPr>
          <w:sz w:val="24"/>
          <w:szCs w:val="24"/>
        </w:rPr>
        <w:t>This agreement has been executed and delivered as a de</w:t>
      </w:r>
      <w:r w:rsidR="00D46DD7">
        <w:rPr>
          <w:sz w:val="24"/>
          <w:szCs w:val="24"/>
        </w:rPr>
        <w:t xml:space="preserve">ed on the date appearing at the </w:t>
      </w:r>
      <w:r w:rsidRPr="00D32138">
        <w:rPr>
          <w:sz w:val="24"/>
          <w:szCs w:val="24"/>
        </w:rPr>
        <w:t>beginning of this deed.</w:t>
      </w:r>
    </w:p>
    <w:p w14:paraId="78C74D3E" w14:textId="77777777" w:rsidR="00D46DD7" w:rsidRPr="00D32138" w:rsidRDefault="00D46DD7" w:rsidP="00D46DD7">
      <w:pPr>
        <w:pStyle w:val="Bodytext20"/>
        <w:shd w:val="clear" w:color="auto" w:fill="auto"/>
        <w:spacing w:before="0" w:after="220" w:line="240" w:lineRule="auto"/>
        <w:ind w:right="560" w:firstLine="720"/>
        <w:jc w:val="left"/>
        <w:rPr>
          <w:sz w:val="24"/>
          <w:szCs w:val="24"/>
        </w:rPr>
      </w:pPr>
    </w:p>
    <w:p w14:paraId="10EB30B2" w14:textId="7C6DEAAF" w:rsidR="00FF656E" w:rsidRPr="00D32138" w:rsidRDefault="00D32138" w:rsidP="00D32138">
      <w:pPr>
        <w:pStyle w:val="Bodytext60"/>
        <w:shd w:val="clear" w:color="auto" w:fill="auto"/>
        <w:spacing w:before="0" w:after="724" w:line="240" w:lineRule="auto"/>
        <w:ind w:firstLine="54"/>
        <w:jc w:val="both"/>
        <w:rPr>
          <w:sz w:val="24"/>
          <w:szCs w:val="24"/>
        </w:rPr>
      </w:pPr>
      <w:r w:rsidRPr="00D32138">
        <w:rPr>
          <w:sz w:val="24"/>
          <w:szCs w:val="24"/>
        </w:rPr>
        <w:t>Execu</w:t>
      </w:r>
      <w:r w:rsidR="00D46DD7">
        <w:rPr>
          <w:sz w:val="24"/>
          <w:szCs w:val="24"/>
        </w:rPr>
        <w:t>ted and delivered as a deed by</w:t>
      </w:r>
      <w:r w:rsidR="002D3F05">
        <w:rPr>
          <w:sz w:val="24"/>
          <w:szCs w:val="24"/>
        </w:rPr>
        <w:t xml:space="preserve"> </w:t>
      </w:r>
      <w:r w:rsidR="00774B26">
        <w:rPr>
          <w:sz w:val="24"/>
          <w:szCs w:val="24"/>
        </w:rPr>
        <w:t>Tokenb</w:t>
      </w:r>
      <w:r w:rsidR="00D21665">
        <w:rPr>
          <w:sz w:val="24"/>
          <w:szCs w:val="24"/>
        </w:rPr>
        <w:t>ox LLC</w:t>
      </w:r>
      <w:r w:rsidRPr="00D32138">
        <w:rPr>
          <w:sz w:val="24"/>
          <w:szCs w:val="24"/>
        </w:rPr>
        <w:t>.</w:t>
      </w:r>
    </w:p>
    <w:p w14:paraId="2B5CD855" w14:textId="7D0A39E6" w:rsidR="00CE4883" w:rsidRPr="00EF0B7A" w:rsidRDefault="00CE4883" w:rsidP="00922B64">
      <w:pPr>
        <w:pStyle w:val="a3"/>
        <w:shd w:val="clear" w:color="auto" w:fill="FFFFFF"/>
        <w:spacing w:after="259" w:afterAutospacing="0"/>
        <w:rPr>
          <w:rFonts w:ascii="yandex-sans" w:hAnsi="yandex-sans"/>
          <w:color w:val="000000"/>
          <w:sz w:val="23"/>
          <w:szCs w:val="23"/>
          <w:lang w:val="en-US"/>
        </w:rPr>
      </w:pPr>
      <w:r w:rsidRPr="00CE4883">
        <w:rPr>
          <w:color w:val="000000"/>
          <w:lang w:val="en-US"/>
        </w:rPr>
        <w:t>By a Director:</w:t>
      </w:r>
      <w:r w:rsidR="00922B64" w:rsidRPr="00EF0B7A">
        <w:rPr>
          <w:color w:val="000000"/>
          <w:lang w:val="en-US"/>
        </w:rPr>
        <w:t xml:space="preserve"> </w:t>
      </w:r>
    </w:p>
    <w:p w14:paraId="68CF6765" w14:textId="77777777" w:rsidR="00922B64" w:rsidRDefault="00922B64" w:rsidP="00922B64">
      <w:pPr>
        <w:pStyle w:val="Bodytext60"/>
        <w:shd w:val="clear" w:color="auto" w:fill="auto"/>
        <w:spacing w:before="0" w:line="360" w:lineRule="auto"/>
        <w:ind w:firstLine="0"/>
        <w:jc w:val="both"/>
        <w:rPr>
          <w:sz w:val="24"/>
          <w:szCs w:val="24"/>
        </w:rPr>
      </w:pPr>
      <w:r w:rsidRPr="00D32138">
        <w:rPr>
          <w:sz w:val="24"/>
          <w:szCs w:val="24"/>
        </w:rPr>
        <w:t>Signature:</w:t>
      </w:r>
    </w:p>
    <w:p w14:paraId="5131B206" w14:textId="18E3736A" w:rsidR="00922B64" w:rsidRPr="00D32138" w:rsidRDefault="00922B64" w:rsidP="00922B64">
      <w:pPr>
        <w:pStyle w:val="Bodytext60"/>
        <w:shd w:val="clear" w:color="auto" w:fill="auto"/>
        <w:spacing w:before="0" w:line="360" w:lineRule="auto"/>
        <w:ind w:firstLine="0"/>
        <w:jc w:val="both"/>
        <w:rPr>
          <w:sz w:val="24"/>
          <w:szCs w:val="24"/>
        </w:rPr>
      </w:pPr>
      <w:r w:rsidRPr="00D32138">
        <w:rPr>
          <w:sz w:val="24"/>
          <w:szCs w:val="24"/>
        </w:rPr>
        <w:tab/>
      </w:r>
      <w:r w:rsidRPr="00D32138">
        <w:rPr>
          <w:sz w:val="24"/>
          <w:szCs w:val="24"/>
        </w:rPr>
        <w:tab/>
      </w:r>
    </w:p>
    <w:p w14:paraId="7A876E49" w14:textId="1F5F9B93" w:rsidR="00922B64" w:rsidRPr="00F04550" w:rsidRDefault="00922B64" w:rsidP="001E2CF6">
      <w:pPr>
        <w:pStyle w:val="Bodytext20"/>
        <w:shd w:val="clear" w:color="auto" w:fill="BFBFBF" w:themeFill="background1" w:themeFillShade="BF"/>
        <w:tabs>
          <w:tab w:val="left" w:pos="2037"/>
          <w:tab w:val="left" w:leader="underscore" w:pos="5204"/>
        </w:tabs>
        <w:spacing w:before="0" w:after="0" w:line="360" w:lineRule="auto"/>
        <w:ind w:firstLine="0"/>
        <w:rPr>
          <w:sz w:val="24"/>
          <w:szCs w:val="24"/>
        </w:rPr>
      </w:pPr>
      <w:r w:rsidRPr="00D32138">
        <w:rPr>
          <w:sz w:val="24"/>
          <w:szCs w:val="24"/>
        </w:rPr>
        <w:t>Name:</w:t>
      </w:r>
      <w:r w:rsidRPr="00922B64">
        <w:rPr>
          <w:sz w:val="24"/>
          <w:szCs w:val="24"/>
        </w:rPr>
        <w:t xml:space="preserve"> </w:t>
      </w:r>
      <w:r w:rsidRPr="00922B64">
        <w:rPr>
          <w:sz w:val="24"/>
        </w:rPr>
        <w:t xml:space="preserve"> </w:t>
      </w:r>
    </w:p>
    <w:p w14:paraId="403CC686" w14:textId="512144AA" w:rsidR="00922B64" w:rsidRPr="00922B64" w:rsidRDefault="00922B64" w:rsidP="001E2CF6">
      <w:pPr>
        <w:pStyle w:val="Bodytext20"/>
        <w:shd w:val="clear" w:color="auto" w:fill="BFBFBF" w:themeFill="background1" w:themeFillShade="BF"/>
        <w:tabs>
          <w:tab w:val="left" w:pos="2037"/>
          <w:tab w:val="left" w:leader="underscore" w:pos="5204"/>
        </w:tabs>
        <w:spacing w:before="0" w:after="0" w:line="360" w:lineRule="auto"/>
        <w:ind w:firstLine="0"/>
        <w:rPr>
          <w:sz w:val="24"/>
          <w:szCs w:val="24"/>
        </w:rPr>
      </w:pPr>
      <w:r w:rsidRPr="00922B64">
        <w:rPr>
          <w:sz w:val="24"/>
          <w:szCs w:val="24"/>
        </w:rPr>
        <w:t xml:space="preserve">Position: </w:t>
      </w:r>
      <w:r>
        <w:rPr>
          <w:sz w:val="24"/>
          <w:szCs w:val="24"/>
        </w:rPr>
        <w:t>Director of the C</w:t>
      </w:r>
      <w:r w:rsidRPr="00922B64">
        <w:rPr>
          <w:sz w:val="24"/>
          <w:szCs w:val="24"/>
        </w:rPr>
        <w:t>ompany</w:t>
      </w:r>
    </w:p>
    <w:p w14:paraId="350BFD81" w14:textId="143F3823" w:rsidR="00922B64" w:rsidRPr="00922B64" w:rsidRDefault="00922B64" w:rsidP="001E2CF6">
      <w:pPr>
        <w:pStyle w:val="Bodytext20"/>
        <w:shd w:val="clear" w:color="auto" w:fill="BFBFBF" w:themeFill="background1" w:themeFillShade="BF"/>
        <w:tabs>
          <w:tab w:val="left" w:pos="2037"/>
          <w:tab w:val="left" w:leader="underscore" w:pos="5204"/>
        </w:tabs>
        <w:spacing w:before="0" w:after="0" w:line="360" w:lineRule="auto"/>
        <w:ind w:firstLine="0"/>
        <w:rPr>
          <w:sz w:val="24"/>
          <w:szCs w:val="24"/>
        </w:rPr>
      </w:pPr>
      <w:r>
        <w:rPr>
          <w:sz w:val="24"/>
          <w:szCs w:val="24"/>
        </w:rPr>
        <w:t>Email</w:t>
      </w:r>
      <w:r w:rsidRPr="00D32138">
        <w:rPr>
          <w:sz w:val="24"/>
          <w:szCs w:val="24"/>
        </w:rPr>
        <w:t>:</w:t>
      </w:r>
      <w:r>
        <w:rPr>
          <w:sz w:val="24"/>
          <w:szCs w:val="24"/>
        </w:rPr>
        <w:t xml:space="preserve"> </w:t>
      </w:r>
    </w:p>
    <w:p w14:paraId="6F308CED" w14:textId="280912E9" w:rsidR="00D46DD7" w:rsidRDefault="00D46DD7" w:rsidP="00922B64">
      <w:pPr>
        <w:rPr>
          <w:rFonts w:ascii="Times New Roman" w:eastAsia="Times New Roman" w:hAnsi="Times New Roman" w:cs="Times New Roman"/>
          <w:b/>
          <w:bCs/>
        </w:rPr>
      </w:pPr>
    </w:p>
    <w:p w14:paraId="7F272E56" w14:textId="4D889945" w:rsidR="00922B64" w:rsidRDefault="00922B64" w:rsidP="00922B64">
      <w:pPr>
        <w:rPr>
          <w:rFonts w:ascii="Times New Roman" w:eastAsia="Times New Roman" w:hAnsi="Times New Roman" w:cs="Times New Roman"/>
          <w:b/>
          <w:bCs/>
        </w:rPr>
      </w:pPr>
    </w:p>
    <w:p w14:paraId="0C6CD139" w14:textId="77777777" w:rsidR="00F04550" w:rsidRDefault="00F04550" w:rsidP="00922B64">
      <w:pPr>
        <w:rPr>
          <w:rFonts w:ascii="Times New Roman" w:eastAsia="Times New Roman" w:hAnsi="Times New Roman" w:cs="Times New Roman"/>
          <w:b/>
          <w:bCs/>
        </w:rPr>
      </w:pPr>
    </w:p>
    <w:p w14:paraId="349B45A0" w14:textId="77777777" w:rsidR="00D46DD7" w:rsidRPr="00D46DD7" w:rsidRDefault="00D46DD7" w:rsidP="00922B64">
      <w:pPr>
        <w:pStyle w:val="Bodytext60"/>
        <w:shd w:val="clear" w:color="auto" w:fill="auto"/>
        <w:spacing w:before="0" w:line="240" w:lineRule="auto"/>
        <w:ind w:firstLine="0"/>
        <w:jc w:val="both"/>
        <w:rPr>
          <w:b w:val="0"/>
          <w:sz w:val="24"/>
          <w:szCs w:val="24"/>
        </w:rPr>
      </w:pPr>
      <w:r w:rsidRPr="00D46DD7">
        <w:rPr>
          <w:b w:val="0"/>
          <w:sz w:val="24"/>
          <w:szCs w:val="24"/>
        </w:rPr>
        <w:t>This agreement has been executed and delivered as a deed on the date appearing at the beginning of this deed.</w:t>
      </w:r>
    </w:p>
    <w:p w14:paraId="43CAE9C2" w14:textId="77777777" w:rsidR="00D46DD7" w:rsidRDefault="00D46DD7" w:rsidP="00922B64">
      <w:pPr>
        <w:pStyle w:val="Bodytext60"/>
        <w:shd w:val="clear" w:color="auto" w:fill="auto"/>
        <w:spacing w:before="0" w:line="240" w:lineRule="auto"/>
        <w:ind w:firstLine="0"/>
        <w:jc w:val="both"/>
        <w:rPr>
          <w:sz w:val="24"/>
          <w:szCs w:val="24"/>
        </w:rPr>
      </w:pPr>
    </w:p>
    <w:p w14:paraId="5A76A120" w14:textId="77777777" w:rsidR="00D46DD7" w:rsidRDefault="00D46DD7" w:rsidP="00922B64">
      <w:pPr>
        <w:pStyle w:val="Bodytext60"/>
        <w:shd w:val="clear" w:color="auto" w:fill="auto"/>
        <w:spacing w:before="0" w:line="240" w:lineRule="auto"/>
        <w:ind w:firstLine="0"/>
        <w:jc w:val="both"/>
        <w:rPr>
          <w:sz w:val="24"/>
          <w:szCs w:val="24"/>
        </w:rPr>
      </w:pPr>
    </w:p>
    <w:p w14:paraId="4AADB967" w14:textId="77777777" w:rsidR="00D46DD7" w:rsidRDefault="00D32138" w:rsidP="00922B64">
      <w:pPr>
        <w:pStyle w:val="Bodytext60"/>
        <w:shd w:val="clear" w:color="auto" w:fill="auto"/>
        <w:spacing w:before="0" w:line="240" w:lineRule="auto"/>
        <w:ind w:firstLine="0"/>
        <w:jc w:val="both"/>
        <w:rPr>
          <w:sz w:val="24"/>
          <w:szCs w:val="24"/>
        </w:rPr>
      </w:pPr>
      <w:r w:rsidRPr="00D32138">
        <w:rPr>
          <w:sz w:val="24"/>
          <w:szCs w:val="24"/>
        </w:rPr>
        <w:t>Executed and delivered as a deed by Purchaser:</w:t>
      </w:r>
    </w:p>
    <w:p w14:paraId="05AE74F8" w14:textId="77777777" w:rsidR="00BC1DFC" w:rsidRDefault="00BC1DFC" w:rsidP="00922B64">
      <w:pPr>
        <w:pStyle w:val="Bodytext60"/>
        <w:shd w:val="clear" w:color="auto" w:fill="auto"/>
        <w:spacing w:before="0" w:line="240" w:lineRule="auto"/>
        <w:ind w:firstLine="0"/>
        <w:jc w:val="both"/>
        <w:rPr>
          <w:sz w:val="24"/>
          <w:szCs w:val="24"/>
        </w:rPr>
      </w:pPr>
    </w:p>
    <w:p w14:paraId="322F1E41" w14:textId="77777777" w:rsidR="00D46DD7" w:rsidRDefault="00D46DD7" w:rsidP="00922B64">
      <w:pPr>
        <w:pStyle w:val="Bodytext60"/>
        <w:shd w:val="clear" w:color="auto" w:fill="auto"/>
        <w:spacing w:before="0" w:line="240" w:lineRule="auto"/>
        <w:ind w:firstLine="0"/>
        <w:jc w:val="both"/>
        <w:rPr>
          <w:sz w:val="24"/>
          <w:szCs w:val="24"/>
        </w:rPr>
      </w:pPr>
    </w:p>
    <w:p w14:paraId="648A1989" w14:textId="77777777" w:rsidR="00922B64" w:rsidRDefault="00D32138" w:rsidP="00922B64">
      <w:pPr>
        <w:pStyle w:val="Bodytext60"/>
        <w:shd w:val="clear" w:color="auto" w:fill="auto"/>
        <w:spacing w:before="0" w:line="360" w:lineRule="auto"/>
        <w:ind w:firstLine="0"/>
        <w:jc w:val="both"/>
        <w:rPr>
          <w:sz w:val="24"/>
          <w:szCs w:val="24"/>
        </w:rPr>
      </w:pPr>
      <w:r w:rsidRPr="00D32138">
        <w:rPr>
          <w:sz w:val="24"/>
          <w:szCs w:val="24"/>
        </w:rPr>
        <w:t>Signature:</w:t>
      </w:r>
    </w:p>
    <w:p w14:paraId="54A869BF" w14:textId="77BE8F3D" w:rsidR="00FF656E" w:rsidRPr="00D32138" w:rsidRDefault="00D32138" w:rsidP="00922B64">
      <w:pPr>
        <w:pStyle w:val="Bodytext60"/>
        <w:shd w:val="clear" w:color="auto" w:fill="auto"/>
        <w:spacing w:before="0" w:line="360" w:lineRule="auto"/>
        <w:ind w:firstLine="0"/>
        <w:jc w:val="both"/>
        <w:rPr>
          <w:sz w:val="24"/>
          <w:szCs w:val="24"/>
        </w:rPr>
      </w:pPr>
      <w:r w:rsidRPr="00D32138">
        <w:rPr>
          <w:sz w:val="24"/>
          <w:szCs w:val="24"/>
        </w:rPr>
        <w:tab/>
      </w:r>
      <w:r w:rsidRPr="00D32138">
        <w:rPr>
          <w:sz w:val="24"/>
          <w:szCs w:val="24"/>
        </w:rPr>
        <w:tab/>
      </w:r>
    </w:p>
    <w:p w14:paraId="5BED9ED3" w14:textId="585957D4" w:rsidR="00FF656E" w:rsidRPr="00A90956" w:rsidRDefault="00D32138" w:rsidP="00F04550">
      <w:pPr>
        <w:pStyle w:val="Bodytext20"/>
        <w:shd w:val="clear" w:color="auto" w:fill="BFBFBF" w:themeFill="background1" w:themeFillShade="BF"/>
        <w:tabs>
          <w:tab w:val="left" w:pos="2037"/>
          <w:tab w:val="left" w:leader="underscore" w:pos="5204"/>
        </w:tabs>
        <w:spacing w:before="0" w:after="0" w:line="360" w:lineRule="auto"/>
        <w:ind w:firstLine="0"/>
        <w:rPr>
          <w:sz w:val="24"/>
          <w:szCs w:val="24"/>
        </w:rPr>
      </w:pPr>
      <w:r w:rsidRPr="00A90956">
        <w:rPr>
          <w:sz w:val="24"/>
          <w:szCs w:val="24"/>
        </w:rPr>
        <w:t>Name:</w:t>
      </w:r>
      <w:r w:rsidR="00A90956" w:rsidRPr="00A90956">
        <w:rPr>
          <w:sz w:val="24"/>
          <w:szCs w:val="24"/>
        </w:rPr>
        <w:t xml:space="preserve"> </w:t>
      </w:r>
    </w:p>
    <w:p w14:paraId="0A928001" w14:textId="768B33EF" w:rsidR="00313D5E" w:rsidRPr="00A90956" w:rsidRDefault="00313D5E" w:rsidP="00F04550">
      <w:pPr>
        <w:pStyle w:val="Bodytext20"/>
        <w:shd w:val="clear" w:color="auto" w:fill="BFBFBF" w:themeFill="background1" w:themeFillShade="BF"/>
        <w:tabs>
          <w:tab w:val="left" w:pos="2037"/>
          <w:tab w:val="left" w:leader="underscore" w:pos="5204"/>
        </w:tabs>
        <w:spacing w:before="0" w:after="0" w:line="360" w:lineRule="auto"/>
        <w:ind w:firstLine="0"/>
        <w:rPr>
          <w:sz w:val="24"/>
          <w:szCs w:val="24"/>
        </w:rPr>
      </w:pPr>
      <w:r w:rsidRPr="00A90956">
        <w:rPr>
          <w:sz w:val="24"/>
          <w:szCs w:val="24"/>
        </w:rPr>
        <w:t>Email:</w:t>
      </w:r>
      <w:r w:rsidR="00922B64" w:rsidRPr="00A90956">
        <w:rPr>
          <w:sz w:val="24"/>
          <w:szCs w:val="24"/>
        </w:rPr>
        <w:t xml:space="preserve"> </w:t>
      </w:r>
    </w:p>
    <w:p w14:paraId="3145690D" w14:textId="55544272" w:rsidR="00313D5E" w:rsidRPr="00A90956" w:rsidRDefault="00313D5E" w:rsidP="00F04550">
      <w:pPr>
        <w:pStyle w:val="Bodytext20"/>
        <w:shd w:val="clear" w:color="auto" w:fill="BFBFBF" w:themeFill="background1" w:themeFillShade="BF"/>
        <w:tabs>
          <w:tab w:val="left" w:pos="2037"/>
          <w:tab w:val="left" w:leader="underscore" w:pos="5204"/>
        </w:tabs>
        <w:spacing w:before="0" w:after="0" w:line="360" w:lineRule="auto"/>
        <w:ind w:firstLine="0"/>
        <w:rPr>
          <w:sz w:val="24"/>
          <w:szCs w:val="24"/>
        </w:rPr>
      </w:pPr>
      <w:r w:rsidRPr="00A90956">
        <w:rPr>
          <w:sz w:val="24"/>
          <w:szCs w:val="24"/>
        </w:rPr>
        <w:t>Ethereum address:</w:t>
      </w:r>
    </w:p>
    <w:p w14:paraId="700D5B9A" w14:textId="77777777" w:rsidR="00313D5E" w:rsidRPr="00D32138" w:rsidRDefault="00313D5E" w:rsidP="00313D5E">
      <w:pPr>
        <w:pStyle w:val="Bodytext20"/>
        <w:shd w:val="clear" w:color="auto" w:fill="auto"/>
        <w:tabs>
          <w:tab w:val="left" w:pos="2037"/>
          <w:tab w:val="left" w:leader="underscore" w:pos="5204"/>
        </w:tabs>
        <w:spacing w:before="0" w:after="651" w:line="360" w:lineRule="auto"/>
        <w:ind w:firstLine="0"/>
        <w:rPr>
          <w:sz w:val="24"/>
          <w:szCs w:val="24"/>
        </w:rPr>
      </w:pPr>
    </w:p>
    <w:sectPr w:rsidR="00313D5E" w:rsidRPr="00D32138" w:rsidSect="00D32138">
      <w:pgSz w:w="12240" w:h="15840"/>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B7D86" w14:textId="77777777" w:rsidR="00B01DE8" w:rsidRDefault="00B01DE8">
      <w:r>
        <w:separator/>
      </w:r>
    </w:p>
  </w:endnote>
  <w:endnote w:type="continuationSeparator" w:id="0">
    <w:p w14:paraId="0D5BC4A2" w14:textId="77777777" w:rsidR="00B01DE8" w:rsidRDefault="00B01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yandex-sans">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4562A" w14:textId="77777777" w:rsidR="00B01DE8" w:rsidRDefault="00B01DE8"/>
  </w:footnote>
  <w:footnote w:type="continuationSeparator" w:id="0">
    <w:p w14:paraId="67FB7E54" w14:textId="77777777" w:rsidR="00B01DE8" w:rsidRDefault="00B01D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735C"/>
    <w:multiLevelType w:val="multilevel"/>
    <w:tmpl w:val="1E54DD6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F806C2"/>
    <w:multiLevelType w:val="multilevel"/>
    <w:tmpl w:val="A3B25AD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80F77A1"/>
    <w:multiLevelType w:val="multilevel"/>
    <w:tmpl w:val="0054D2CE"/>
    <w:lvl w:ilvl="0">
      <w:start w:val="1"/>
      <w:numFmt w:val="lowerLetter"/>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E1467C7"/>
    <w:multiLevelType w:val="multilevel"/>
    <w:tmpl w:val="1EECB79A"/>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FD3A9B"/>
    <w:multiLevelType w:val="multilevel"/>
    <w:tmpl w:val="F3F8378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AEB2D84"/>
    <w:multiLevelType w:val="multilevel"/>
    <w:tmpl w:val="F99A335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2"/>
  </w:compat>
  <w:rsids>
    <w:rsidRoot w:val="00FF656E"/>
    <w:rsid w:val="000C7CCC"/>
    <w:rsid w:val="00117914"/>
    <w:rsid w:val="0016786C"/>
    <w:rsid w:val="001D3776"/>
    <w:rsid w:val="001E2CF6"/>
    <w:rsid w:val="002D3F05"/>
    <w:rsid w:val="00313D5E"/>
    <w:rsid w:val="004055CA"/>
    <w:rsid w:val="00467B72"/>
    <w:rsid w:val="00532B45"/>
    <w:rsid w:val="007039E6"/>
    <w:rsid w:val="00774B26"/>
    <w:rsid w:val="00834460"/>
    <w:rsid w:val="00834F2F"/>
    <w:rsid w:val="00922B64"/>
    <w:rsid w:val="009A42C9"/>
    <w:rsid w:val="009F2D25"/>
    <w:rsid w:val="009F51B8"/>
    <w:rsid w:val="00A442FB"/>
    <w:rsid w:val="00A90956"/>
    <w:rsid w:val="00A9664D"/>
    <w:rsid w:val="00AA3829"/>
    <w:rsid w:val="00AE21AD"/>
    <w:rsid w:val="00B01DE8"/>
    <w:rsid w:val="00B51826"/>
    <w:rsid w:val="00B938AF"/>
    <w:rsid w:val="00BC1DFC"/>
    <w:rsid w:val="00BE6A3D"/>
    <w:rsid w:val="00CE4883"/>
    <w:rsid w:val="00CE6579"/>
    <w:rsid w:val="00D21665"/>
    <w:rsid w:val="00D32138"/>
    <w:rsid w:val="00D46DD7"/>
    <w:rsid w:val="00DE492F"/>
    <w:rsid w:val="00E11898"/>
    <w:rsid w:val="00E500A1"/>
    <w:rsid w:val="00EE2170"/>
    <w:rsid w:val="00EF0B7A"/>
    <w:rsid w:val="00F04550"/>
    <w:rsid w:val="00FB2213"/>
    <w:rsid w:val="00FF65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F461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urier New" w:eastAsia="Courier New" w:hAnsi="Courier New" w:cs="Courier New"/>
        <w:sz w:val="24"/>
        <w:szCs w:val="24"/>
        <w:lang w:val="en-US" w:eastAsia="en-US" w:bidi="en-US"/>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
    <w:name w:val="Heading #1_"/>
    <w:basedOn w:val="a0"/>
    <w:link w:val="Heading10"/>
    <w:rPr>
      <w:rFonts w:ascii="Times New Roman" w:eastAsia="Times New Roman" w:hAnsi="Times New Roman" w:cs="Times New Roman"/>
      <w:b/>
      <w:bCs/>
      <w:i w:val="0"/>
      <w:iCs w:val="0"/>
      <w:smallCaps w:val="0"/>
      <w:strike w:val="0"/>
      <w:sz w:val="20"/>
      <w:szCs w:val="20"/>
      <w:u w:val="none"/>
    </w:rPr>
  </w:style>
  <w:style w:type="character" w:customStyle="1" w:styleId="Bodytext2">
    <w:name w:val="Body text (2)_"/>
    <w:basedOn w:val="a0"/>
    <w:link w:val="Bodytext20"/>
    <w:rPr>
      <w:rFonts w:ascii="Times New Roman" w:eastAsia="Times New Roman" w:hAnsi="Times New Roman" w:cs="Times New Roman"/>
      <w:b w:val="0"/>
      <w:bCs w:val="0"/>
      <w:i w:val="0"/>
      <w:iCs w:val="0"/>
      <w:smallCaps w:val="0"/>
      <w:strike w:val="0"/>
      <w:sz w:val="20"/>
      <w:szCs w:val="20"/>
      <w:u w:val="none"/>
    </w:rPr>
  </w:style>
  <w:style w:type="character" w:customStyle="1" w:styleId="Bodytext2Bold">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0"/>
      <w:szCs w:val="20"/>
      <w:u w:val="none"/>
      <w:lang w:val="en-US" w:eastAsia="en-US" w:bidi="en-US"/>
    </w:rPr>
  </w:style>
  <w:style w:type="character" w:customStyle="1" w:styleId="Bodytext3">
    <w:name w:val="Body text (3)_"/>
    <w:basedOn w:val="a0"/>
    <w:link w:val="Bodytext30"/>
    <w:rPr>
      <w:rFonts w:ascii="Times New Roman" w:eastAsia="Times New Roman" w:hAnsi="Times New Roman" w:cs="Times New Roman"/>
      <w:b/>
      <w:bCs/>
      <w:i/>
      <w:iCs/>
      <w:smallCaps w:val="0"/>
      <w:strike w:val="0"/>
      <w:sz w:val="20"/>
      <w:szCs w:val="20"/>
      <w:u w:val="none"/>
    </w:rPr>
  </w:style>
  <w:style w:type="character" w:customStyle="1" w:styleId="Bodytext3NotBold">
    <w:name w:val="Body text (3) + Not Bold"/>
    <w:aliases w:val="Not Italic"/>
    <w:basedOn w:val="Bodytext3"/>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3NotItalic">
    <w:name w:val="Body text (3) + Not Italic"/>
    <w:basedOn w:val="Bodytext3"/>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2Bold0">
    <w:name w:val="Body text (2) + Bold"/>
    <w:basedOn w:val="Bodytext2"/>
    <w:rPr>
      <w:rFonts w:ascii="Times New Roman" w:eastAsia="Times New Roman" w:hAnsi="Times New Roman" w:cs="Times New Roman"/>
      <w:b/>
      <w:bCs/>
      <w:i w:val="0"/>
      <w:iCs w:val="0"/>
      <w:smallCaps w:val="0"/>
      <w:strike w:val="0"/>
      <w:color w:val="000000"/>
      <w:spacing w:val="0"/>
      <w:w w:val="100"/>
      <w:position w:val="0"/>
      <w:sz w:val="20"/>
      <w:szCs w:val="20"/>
      <w:u w:val="single"/>
      <w:lang w:val="en-US" w:eastAsia="en-US" w:bidi="en-US"/>
    </w:rPr>
  </w:style>
  <w:style w:type="character" w:customStyle="1" w:styleId="Bodytext2Italic">
    <w:name w:val="Body text (2) + Italic"/>
    <w:basedOn w:val="Bodytext2"/>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Bodytext2Bold1">
    <w:name w:val="Body text (2) + Bold"/>
    <w:aliases w:val="Italic"/>
    <w:basedOn w:val="Bodytext2"/>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character" w:customStyle="1" w:styleId="Bodytext6">
    <w:name w:val="Body text (6)_"/>
    <w:basedOn w:val="a0"/>
    <w:link w:val="Bodytext60"/>
    <w:rPr>
      <w:rFonts w:ascii="Times New Roman" w:eastAsia="Times New Roman" w:hAnsi="Times New Roman" w:cs="Times New Roman"/>
      <w:b/>
      <w:bCs/>
      <w:i w:val="0"/>
      <w:iCs w:val="0"/>
      <w:smallCaps w:val="0"/>
      <w:strike w:val="0"/>
      <w:sz w:val="20"/>
      <w:szCs w:val="20"/>
      <w:u w:val="none"/>
    </w:rPr>
  </w:style>
  <w:style w:type="character" w:customStyle="1" w:styleId="Bodytext9">
    <w:name w:val="Body text (9)_"/>
    <w:basedOn w:val="a0"/>
    <w:link w:val="Bodytext90"/>
    <w:rPr>
      <w:rFonts w:ascii="Times New Roman" w:eastAsia="Times New Roman" w:hAnsi="Times New Roman" w:cs="Times New Roman"/>
      <w:b w:val="0"/>
      <w:bCs w:val="0"/>
      <w:i/>
      <w:iCs/>
      <w:smallCaps w:val="0"/>
      <w:strike w:val="0"/>
      <w:sz w:val="20"/>
      <w:szCs w:val="20"/>
      <w:u w:val="none"/>
    </w:rPr>
  </w:style>
  <w:style w:type="paragraph" w:customStyle="1" w:styleId="Heading10">
    <w:name w:val="Heading #1"/>
    <w:basedOn w:val="a"/>
    <w:link w:val="Heading1"/>
    <w:pPr>
      <w:shd w:val="clear" w:color="auto" w:fill="FFFFFF"/>
      <w:spacing w:after="300" w:line="0" w:lineRule="atLeast"/>
      <w:jc w:val="center"/>
      <w:outlineLvl w:val="0"/>
    </w:pPr>
    <w:rPr>
      <w:rFonts w:ascii="Times New Roman" w:eastAsia="Times New Roman" w:hAnsi="Times New Roman" w:cs="Times New Roman"/>
      <w:b/>
      <w:bCs/>
      <w:sz w:val="20"/>
      <w:szCs w:val="20"/>
    </w:rPr>
  </w:style>
  <w:style w:type="paragraph" w:customStyle="1" w:styleId="Bodytext20">
    <w:name w:val="Body text (2)"/>
    <w:basedOn w:val="a"/>
    <w:link w:val="Bodytext2"/>
    <w:pPr>
      <w:shd w:val="clear" w:color="auto" w:fill="FFFFFF"/>
      <w:spacing w:before="300" w:after="180" w:line="250" w:lineRule="exact"/>
      <w:ind w:hanging="8"/>
      <w:jc w:val="both"/>
    </w:pPr>
    <w:rPr>
      <w:rFonts w:ascii="Times New Roman" w:eastAsia="Times New Roman" w:hAnsi="Times New Roman" w:cs="Times New Roman"/>
      <w:sz w:val="20"/>
      <w:szCs w:val="20"/>
    </w:rPr>
  </w:style>
  <w:style w:type="paragraph" w:customStyle="1" w:styleId="Bodytext30">
    <w:name w:val="Body text (3)"/>
    <w:basedOn w:val="a"/>
    <w:link w:val="Bodytext3"/>
    <w:pPr>
      <w:shd w:val="clear" w:color="auto" w:fill="FFFFFF"/>
      <w:spacing w:before="180" w:after="180" w:line="0" w:lineRule="atLeast"/>
      <w:ind w:firstLine="34"/>
      <w:jc w:val="both"/>
    </w:pPr>
    <w:rPr>
      <w:rFonts w:ascii="Times New Roman" w:eastAsia="Times New Roman" w:hAnsi="Times New Roman" w:cs="Times New Roman"/>
      <w:b/>
      <w:bCs/>
      <w:i/>
      <w:iCs/>
      <w:sz w:val="20"/>
      <w:szCs w:val="20"/>
    </w:rPr>
  </w:style>
  <w:style w:type="paragraph" w:customStyle="1" w:styleId="Bodytext60">
    <w:name w:val="Body text (6)"/>
    <w:basedOn w:val="a"/>
    <w:link w:val="Bodytext6"/>
    <w:pPr>
      <w:shd w:val="clear" w:color="auto" w:fill="FFFFFF"/>
      <w:spacing w:before="300" w:line="0" w:lineRule="atLeast"/>
      <w:ind w:hanging="6"/>
    </w:pPr>
    <w:rPr>
      <w:rFonts w:ascii="Times New Roman" w:eastAsia="Times New Roman" w:hAnsi="Times New Roman" w:cs="Times New Roman"/>
      <w:b/>
      <w:bCs/>
      <w:sz w:val="20"/>
      <w:szCs w:val="20"/>
    </w:rPr>
  </w:style>
  <w:style w:type="paragraph" w:customStyle="1" w:styleId="Bodytext90">
    <w:name w:val="Body text (9)"/>
    <w:basedOn w:val="a"/>
    <w:link w:val="Bodytext9"/>
    <w:pPr>
      <w:shd w:val="clear" w:color="auto" w:fill="FFFFFF"/>
      <w:spacing w:before="180" w:after="3060" w:line="0" w:lineRule="atLeast"/>
      <w:ind w:hanging="1"/>
    </w:pPr>
    <w:rPr>
      <w:rFonts w:ascii="Times New Roman" w:eastAsia="Times New Roman" w:hAnsi="Times New Roman" w:cs="Times New Roman"/>
      <w:i/>
      <w:iCs/>
      <w:sz w:val="20"/>
      <w:szCs w:val="20"/>
    </w:rPr>
  </w:style>
  <w:style w:type="paragraph" w:styleId="a3">
    <w:name w:val="Normal (Web)"/>
    <w:basedOn w:val="a"/>
    <w:uiPriority w:val="99"/>
    <w:semiHidden/>
    <w:unhideWhenUsed/>
    <w:rsid w:val="00CE4883"/>
    <w:pPr>
      <w:widowControl/>
      <w:spacing w:before="100" w:beforeAutospacing="1" w:after="100" w:afterAutospacing="1"/>
    </w:pPr>
    <w:rPr>
      <w:rFonts w:ascii="Times New Roman" w:eastAsia="Times New Roman" w:hAnsi="Times New Roman" w:cs="Times New Roman"/>
      <w:color w:val="auto"/>
      <w:lang w:val="ru-RU" w:eastAsia="ru-RU" w:bidi="ar-SA"/>
    </w:rPr>
  </w:style>
  <w:style w:type="table" w:styleId="a4">
    <w:name w:val="Table Grid"/>
    <w:basedOn w:val="a1"/>
    <w:uiPriority w:val="59"/>
    <w:rsid w:val="00922B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922B64"/>
    <w:rPr>
      <w:rFonts w:ascii="Calibri" w:hAnsi="Calibri" w:hint="default"/>
      <w:b w:val="0"/>
      <w:bCs w:val="0"/>
      <w:i w:val="0"/>
      <w:iCs w:val="0"/>
      <w:color w:val="000000"/>
      <w:sz w:val="24"/>
      <w:szCs w:val="24"/>
    </w:rPr>
  </w:style>
  <w:style w:type="character" w:customStyle="1" w:styleId="fontstyle11">
    <w:name w:val="fontstyle11"/>
    <w:basedOn w:val="a0"/>
    <w:rsid w:val="00922B64"/>
    <w:rPr>
      <w:rFonts w:ascii="Calibri" w:hAnsi="Calibri" w:hint="default"/>
      <w:b/>
      <w:bCs/>
      <w:i w:val="0"/>
      <w:iCs w:val="0"/>
      <w:color w:val="000000"/>
      <w:sz w:val="24"/>
      <w:szCs w:val="24"/>
    </w:rPr>
  </w:style>
  <w:style w:type="paragraph" w:styleId="a5">
    <w:name w:val="Balloon Text"/>
    <w:basedOn w:val="a"/>
    <w:link w:val="a6"/>
    <w:uiPriority w:val="99"/>
    <w:semiHidden/>
    <w:unhideWhenUsed/>
    <w:rsid w:val="001D3776"/>
    <w:rPr>
      <w:rFonts w:ascii="Segoe UI" w:hAnsi="Segoe UI" w:cs="Segoe UI"/>
      <w:sz w:val="18"/>
      <w:szCs w:val="18"/>
    </w:rPr>
  </w:style>
  <w:style w:type="character" w:customStyle="1" w:styleId="a6">
    <w:name w:val="Текст выноски Знак"/>
    <w:basedOn w:val="a0"/>
    <w:link w:val="a5"/>
    <w:uiPriority w:val="99"/>
    <w:semiHidden/>
    <w:rsid w:val="001D3776"/>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493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1976</Words>
  <Characters>11269</Characters>
  <Application>Microsoft Office Word</Application>
  <DocSecurity>0</DocSecurity>
  <Lines>93</Lines>
  <Paragraphs>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Untitled</vt:lpstr>
      <vt:lpstr>Untitled</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Julian Zegelman</dc:creator>
  <cp:keywords/>
  <cp:lastModifiedBy>Doganov Igor</cp:lastModifiedBy>
  <cp:revision>4</cp:revision>
  <cp:lastPrinted>2017-10-06T15:32:00Z</cp:lastPrinted>
  <dcterms:created xsi:type="dcterms:W3CDTF">2017-10-12T17:29:00Z</dcterms:created>
  <dcterms:modified xsi:type="dcterms:W3CDTF">2017-10-12T17:31:00Z</dcterms:modified>
</cp:coreProperties>
</file>