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B3A5C"/>
          <w:sz w:val="48"/>
          <w:szCs w:val="48"/>
        </w:rPr>
        <w:t xml:space="preserve">Product Requirements Document</w:t>
      </w:r>
    </w:p>
    <w:p>
      <w:pPr>
        <w:spacing w:after="40"/>
      </w:pPr>
      <w:r>
        <w:rPr>
          <w:rFonts w:ascii="Arial" w:cs="Arial" w:eastAsia="Arial" w:hAnsi="Arial"/>
          <w:color w:val="2B5797"/>
          <w:sz w:val="32"/>
          <w:szCs w:val="32"/>
        </w:rPr>
        <w:t xml:space="preserve">Smart Contract Collaboration Platform</w:t>
      </w:r>
    </w:p>
    <w:p>
      <w:pPr>
        <w:spacing w:after="40"/>
      </w:pPr>
      <w:r>
        <w:rPr>
          <w:rFonts w:ascii="Arial" w:cs="Arial" w:eastAsia="Arial" w:hAnsi="Arial"/>
          <w:color w:val="888888"/>
          <w:sz w:val="20"/>
          <w:szCs w:val="20"/>
        </w:rPr>
        <w:t xml:space="preserve">Version 1.0  |  March 2026  |  Draft for Review</w:t>
      </w:r>
    </w:p>
    <w:p>
      <w:pPr>
        <w:pBdr>
          <w:bottom w:val="single" w:color="2B5797" w:sz="2" w:space="1"/>
        </w:pBdr>
        <w:spacing w:after="200" w:before="200"/>
      </w:pPr>
    </w:p>
    <w:p>
      <w:pPr>
        <w:pStyle w:val="Heading1"/>
        <w:spacing w:after="120" w:before="240"/>
      </w:pPr>
      <w:r>
        <w:t xml:space="preserve">1. Product Overview</w:t>
      </w:r>
    </w:p>
    <w:p>
      <w:pPr>
        <w:pStyle w:val="Heading2"/>
        <w:spacing w:after="120" w:before="240"/>
      </w:pPr>
      <w:r>
        <w:t xml:space="preserve">1.1 Vision</w:t>
      </w:r>
    </w:p>
    <w:p>
      <w:pPr>
        <w:spacing w:after="120"/>
      </w:pPr>
      <w:r>
        <w:t xml:space="preserve">A software-enabled service that transforms contract negotiation from an opaque, document-centric process into a structured, intelligent, and collaborative experience. The platform helps users understand, negotiate, and finalise contracts with greater confidence and efficiency, without requiring legal expertise.</w:t>
      </w:r>
    </w:p>
    <w:p>
      <w:pPr>
        <w:pStyle w:val="Heading2"/>
        <w:spacing w:after="120" w:before="240"/>
      </w:pPr>
      <w:r>
        <w:t xml:space="preserve">1.2 Core Problems Addressed</w:t>
      </w:r>
    </w:p>
    <w:p>
      <w:pPr>
        <w:pStyle w:val="ListParagraph"/>
        <w:numPr>
          <w:ilvl w:val="0"/>
          <w:numId w:val="2"/>
        </w:numPr>
        <w:spacing w:after="60"/>
      </w:pPr>
      <w:r>
        <w:t xml:space="preserve">Contracts are static documents that are frequently changed and negotiated, making it difficult to compare versions and track what changed and why.</w:t>
      </w:r>
    </w:p>
    <w:p>
      <w:pPr>
        <w:pStyle w:val="ListParagraph"/>
        <w:numPr>
          <w:ilvl w:val="0"/>
          <w:numId w:val="2"/>
        </w:numPr>
        <w:spacing w:after="60"/>
      </w:pPr>
      <w:r>
        <w:t xml:space="preserve">Collaboration on contracts is unstructured, relying on emailed Word documents with tracked changes and no persistent context about negotiation history.</w:t>
      </w:r>
    </w:p>
    <w:p>
      <w:pPr>
        <w:pStyle w:val="ListParagraph"/>
        <w:numPr>
          <w:ilvl w:val="0"/>
          <w:numId w:val="2"/>
        </w:numPr>
        <w:spacing w:after="60"/>
      </w:pPr>
      <w:r>
        <w:t xml:space="preserve">Contracts are written with inconsistent structures, terminology, and intentions, making them difficult for non-lawyers to understand.</w:t>
      </w:r>
    </w:p>
    <w:p>
      <w:pPr>
        <w:pStyle w:val="ListParagraph"/>
        <w:numPr>
          <w:ilvl w:val="0"/>
          <w:numId w:val="2"/>
        </w:numPr>
        <w:spacing w:after="60"/>
      </w:pPr>
      <w:r>
        <w:t xml:space="preserve">Contracts cross jurisdictions with inconsistent laws and expectations, creating hidden risks.</w:t>
      </w:r>
    </w:p>
    <w:p>
      <w:pPr>
        <w:pStyle w:val="ListParagraph"/>
        <w:numPr>
          <w:ilvl w:val="0"/>
          <w:numId w:val="2"/>
        </w:numPr>
        <w:spacing w:after="60"/>
      </w:pPr>
      <w:r>
        <w:t xml:space="preserve">Clauses have interdependencies that are not made explicit, meaning a change to one clause can have unintended consequences elsewhere.</w:t>
      </w:r>
    </w:p>
    <w:p>
      <w:pPr>
        <w:pStyle w:val="ListParagraph"/>
        <w:numPr>
          <w:ilvl w:val="0"/>
          <w:numId w:val="2"/>
        </w:numPr>
        <w:spacing w:after="60"/>
      </w:pPr>
      <w:r>
        <w:t xml:space="preserve">Configurable data elements such as payment terms, review periods, and acceptance windows are embedded as unstructured text rather than managed as data.</w:t>
      </w:r>
    </w:p>
    <w:p>
      <w:pPr>
        <w:pStyle w:val="ListParagraph"/>
        <w:numPr>
          <w:ilvl w:val="0"/>
          <w:numId w:val="2"/>
        </w:numPr>
        <w:spacing w:after="60"/>
      </w:pPr>
      <w:r>
        <w:t xml:space="preserve">Changes to clause numbering frequently cause errors in cross-references throughout the document.</w:t>
      </w:r>
    </w:p>
    <w:p>
      <w:pPr>
        <w:pStyle w:val="Heading2"/>
        <w:spacing w:after="120" w:before="240"/>
      </w:pPr>
      <w:r>
        <w:t xml:space="preserve">1.3 Target Market</w:t>
      </w:r>
    </w:p>
    <w:p>
      <w:pPr>
        <w:spacing w:after="120"/>
      </w:pPr>
      <w:r>
        <w:rPr>
          <w:b/>
          <w:bCs/>
        </w:rPr>
        <w:t xml:space="preserve">Primary: </w:t>
      </w:r>
      <w:r>
        <w:t xml:space="preserve">Small and medium-sized businesses that operate through negotiated contracts, including sole traders, consultancies, agencies, professional services firms, and tradespeople. These users typically lack dedicated legal resources and negotiate contracts as part of their operational workflow.</w:t>
      </w:r>
    </w:p>
    <w:p>
      <w:pPr>
        <w:spacing w:after="120"/>
      </w:pPr>
    </w:p>
    <w:p>
      <w:pPr>
        <w:spacing w:after="120"/>
      </w:pPr>
      <w:r>
        <w:rPr>
          <w:b/>
          <w:bCs/>
        </w:rPr>
        <w:t xml:space="preserve">Secondary (acquisition funnel): </w:t>
      </w:r>
      <w:r>
        <w:t xml:space="preserve">Individuals and sole traders reviewing contracts they have received, such as employment contracts, builder contracts, mortgage agreements, and rental agreements. This segment serves as a free or low-cost entry point to the platform.</w:t>
      </w:r>
    </w:p>
    <w:p>
      <w:pPr>
        <w:pStyle w:val="Heading2"/>
        <w:spacing w:after="120" w:before="240"/>
      </w:pPr>
      <w:r>
        <w:t xml:space="preserve">1.4 Positioning</w:t>
      </w:r>
    </w:p>
    <w:p>
      <w:pPr>
        <w:spacing w:after="120"/>
      </w:pPr>
      <w:r>
        <w:t xml:space="preserve">The platform does not have to replace existing contract management tools. It can function as a negotiation and understanding layer that sits alongside existing workflows. Users can take their agreed contracts out of the platform and execute them through their existing processes. Over time, the platform can become the end-to-end contract management experience for users who choose to consolidate.</w:t>
      </w:r>
    </w:p>
    <w:p>
      <w:pPr>
        <w:pBdr>
          <w:bottom w:val="single" w:color="2B5797" w:sz="2" w:space="1"/>
        </w:pBdr>
        <w:spacing w:after="200" w:before="200"/>
      </w:pPr>
    </w:p>
    <w:p>
      <w:pPr>
        <w:pStyle w:val="Heading1"/>
        <w:spacing w:after="120" w:before="240"/>
      </w:pPr>
      <w:r>
        <w:t xml:space="preserve">2. User Model and Access</w:t>
      </w:r>
    </w:p>
    <w:p>
      <w:pPr>
        <w:pStyle w:val="Heading2"/>
        <w:spacing w:after="120" w:before="240"/>
      </w:pPr>
      <w:r>
        <w:t xml:space="preserve">2.1 Account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4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Access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(pay-per-contract)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single user uploading and reviewing contracts. No templates or company-level configuration.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Per-contract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account (subscription)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company with multiple users, shared templates, configurable variables, internal meta-context, and approval workflows.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Monthly/annual subscription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Counterparty (free)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person invited to review and respond to a contract shared via link. Full negotiation capability within that contract. No account required.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OTP authentication via shared 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 collaborator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invited participant on the contract owner’s side, such as an external lawyer or advisor. Given access to specific contracts including internal context.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Invited per contract by the contract owner</w:t>
            </w:r>
          </w:p>
        </w:tc>
      </w:tr>
    </w:tbl>
    <w:p>
      <w:pPr>
        <w:pStyle w:val="Heading2"/>
        <w:spacing w:after="120" w:before="240"/>
      </w:pPr>
      <w:r>
        <w:t xml:space="preserve">2.2 Roles and Permissions (Company Accounts)</w:t>
      </w:r>
    </w:p>
    <w:p>
      <w:pPr>
        <w:pStyle w:val="ListParagraph"/>
        <w:numPr>
          <w:ilvl w:val="0"/>
          <w:numId w:val="2"/>
        </w:numPr>
        <w:spacing w:after="60"/>
      </w:pPr>
      <w:r>
        <w:t xml:space="preserve">Users within a company account have scoped visibility. A BDM sees only their contracts, not all contracts across the company.</w:t>
      </w:r>
    </w:p>
    <w:p>
      <w:pPr>
        <w:pStyle w:val="ListParagraph"/>
        <w:numPr>
          <w:ilvl w:val="0"/>
          <w:numId w:val="2"/>
        </w:numPr>
        <w:spacing w:after="60"/>
      </w:pPr>
      <w:r>
        <w:t xml:space="preserve">Company administrators can configure templates, set default variables, define approval workflows, and manage user access.</w:t>
      </w:r>
    </w:p>
    <w:p>
      <w:pPr>
        <w:pStyle w:val="ListParagraph"/>
        <w:numPr>
          <w:ilvl w:val="0"/>
          <w:numId w:val="2"/>
        </w:numPr>
        <w:spacing w:after="60"/>
      </w:pPr>
      <w:r>
        <w:t xml:space="preserve">Permissions for publishing (sending to counterparty) are configurable. A company can require that certain users obtain approval before sharing a contract externally at any stage.</w:t>
      </w:r>
    </w:p>
    <w:p>
      <w:pPr>
        <w:pStyle w:val="ListParagraph"/>
        <w:numPr>
          <w:ilvl w:val="0"/>
          <w:numId w:val="2"/>
        </w:numPr>
        <w:spacing w:after="60"/>
      </w:pPr>
      <w:r>
        <w:t xml:space="preserve">External collaborators such as lawyers are granted access to specific contracts. They see the contract and all internal annotations and context for that contract but do not have access to other contracts or company-level settings.</w:t>
      </w:r>
    </w:p>
    <w:p>
      <w:pPr>
        <w:pStyle w:val="Heading2"/>
        <w:spacing w:after="120" w:before="240"/>
      </w:pPr>
      <w:r>
        <w:t xml:space="preserve">2.3 Lawyer Access Model</w:t>
      </w:r>
    </w:p>
    <w:p>
      <w:pPr>
        <w:spacing w:after="120"/>
      </w:pPr>
      <w:r>
        <w:t xml:space="preserve">A lawyer or external advisor who works with multiple clients using the platform can have their own account that aggregates all contracts they have been invited into across different client companies. Access to each contract is granted explicitly by the client company on a per-contract basis. This creates a potential distribution channel where lawyers recommend the platform to clients.</w:t>
      </w:r>
    </w:p>
    <w:p>
      <w:pPr>
        <w:pBdr>
          <w:bottom w:val="single" w:color="2B5797" w:sz="2" w:space="1"/>
        </w:pBdr>
        <w:spacing w:after="200" w:before="200"/>
      </w:pPr>
    </w:p>
    <w:p>
      <w:pPr>
        <w:pStyle w:val="Heading1"/>
        <w:spacing w:after="120" w:before="240"/>
      </w:pPr>
      <w:r>
        <w:t xml:space="preserve">3. Contract Lifecycle and States</w:t>
      </w:r>
    </w:p>
    <w:p>
      <w:pPr>
        <w:pStyle w:val="Heading2"/>
        <w:spacing w:after="120" w:before="240"/>
      </w:pPr>
      <w:r>
        <w:t xml:space="preserve">3.1 Lifecycle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Uploaded / Created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contract has been uploaded (PDF, Word, or pasted text) and the system is parsing and analysing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AI has parsed the contract into clauses, identified cross-references, and generated initial analysis. User can review and adjust the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Review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contract owner and internal collaborators (including external lawyers) are reviewing, annotating, and preparing proposed changes before sharing with the counterparty.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 In Negotiation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contract has been published to the counterparty. Both parties can propose changes, ask questions, and discuss clauses. Multiple rounds of back-and-forth can occur.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Agreed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parties have reached agreement on all terms. The contract can be finalised.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Finalised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clean PDF of the agreed contract has been generated for execution through the parties’ existing signing processes.</w:t>
            </w:r>
          </w:p>
        </w:tc>
      </w:tr>
    </w:tbl>
    <w:p>
      <w:pPr>
        <w:pStyle w:val="Heading2"/>
        <w:spacing w:after="120" w:before="240"/>
      </w:pPr>
      <w:r>
        <w:t xml:space="preserve">3.2 Publishing to Counterparty</w:t>
      </w:r>
    </w:p>
    <w:p>
      <w:pPr>
        <w:pStyle w:val="ListParagraph"/>
        <w:numPr>
          <w:ilvl w:val="0"/>
          <w:numId w:val="2"/>
        </w:numPr>
        <w:spacing w:after="60"/>
      </w:pPr>
      <w:r>
        <w:t xml:space="preserve">There is an explicit publish action to share changes, questions, or proposals with the counterparty.</w:t>
      </w:r>
    </w:p>
    <w:p>
      <w:pPr>
        <w:pStyle w:val="ListParagraph"/>
        <w:numPr>
          <w:ilvl w:val="0"/>
          <w:numId w:val="2"/>
        </w:numPr>
        <w:spacing w:after="60"/>
      </w:pPr>
      <w:r>
        <w:t xml:space="preserve">Before publishing, the sender sees a preview of exactly what the counterparty will see, ensuring no internal annotations or private context are accidentally exposed.</w:t>
      </w:r>
    </w:p>
    <w:p>
      <w:pPr>
        <w:pStyle w:val="ListParagraph"/>
        <w:numPr>
          <w:ilvl w:val="0"/>
          <w:numId w:val="2"/>
        </w:numPr>
        <w:spacing w:after="60"/>
      </w:pPr>
      <w:r>
        <w:t xml:space="preserve">The sender can include a summary note or cover message with each publish action.</w:t>
      </w:r>
    </w:p>
    <w:p>
      <w:pPr>
        <w:pStyle w:val="ListParagraph"/>
        <w:numPr>
          <w:ilvl w:val="0"/>
          <w:numId w:val="2"/>
        </w:numPr>
        <w:spacing w:after="60"/>
      </w:pPr>
      <w:r>
        <w:t xml:space="preserve">Publishing triggers an email notification to the counterparty with a link to access the contract. The notification contains minimal context and does not expose contract content outside the platform.</w:t>
      </w:r>
    </w:p>
    <w:p>
      <w:pPr>
        <w:pStyle w:val="ListParagraph"/>
        <w:numPr>
          <w:ilvl w:val="0"/>
          <w:numId w:val="2"/>
        </w:numPr>
        <w:spacing w:after="60"/>
      </w:pPr>
      <w:r>
        <w:t xml:space="preserve">Configurable permissions determine whether a user can publish directly or requires approval from a designated reviewer first.</w:t>
      </w:r>
    </w:p>
    <w:p>
      <w:pPr>
        <w:pStyle w:val="Heading2"/>
        <w:spacing w:after="120" w:before="240"/>
      </w:pPr>
      <w:r>
        <w:t xml:space="preserve">3.3 Request for Update</w:t>
      </w:r>
    </w:p>
    <w:p>
      <w:pPr>
        <w:spacing w:after="120"/>
      </w:pPr>
      <w:r>
        <w:t xml:space="preserve">When a negotiation has stalled, the contract owner can manually send a request for update to the counterparty, prompting them to respond. There are no automated reminders in v1; the user controls the cadence of follow-up.</w:t>
      </w:r>
    </w:p>
    <w:p>
      <w:pPr>
        <w:pStyle w:val="Heading2"/>
        <w:spacing w:after="120" w:before="240"/>
      </w:pPr>
      <w:r>
        <w:t xml:space="preserve">3.4 Finalisation</w:t>
      </w:r>
    </w:p>
    <w:p>
      <w:pPr>
        <w:pStyle w:val="ListParagraph"/>
        <w:numPr>
          <w:ilvl w:val="0"/>
          <w:numId w:val="2"/>
        </w:numPr>
        <w:spacing w:after="60"/>
      </w:pPr>
      <w:r>
        <w:t xml:space="preserve">When the parties reach agreement, the system generates a clean PDF of the final contract with all agreed changes incorporated.</w:t>
      </w:r>
    </w:p>
    <w:p>
      <w:pPr>
        <w:pStyle w:val="ListParagraph"/>
        <w:numPr>
          <w:ilvl w:val="0"/>
          <w:numId w:val="2"/>
        </w:numPr>
        <w:spacing w:after="60"/>
      </w:pPr>
      <w:r>
        <w:t xml:space="preserve">The counterparty can view a summary of all changes from the original base contract before finalisation, allowing them to update their own version outside the platform if needed.</w:t>
      </w:r>
    </w:p>
    <w:p>
      <w:pPr>
        <w:pStyle w:val="ListParagraph"/>
        <w:numPr>
          <w:ilvl w:val="0"/>
          <w:numId w:val="2"/>
        </w:numPr>
        <w:spacing w:after="60"/>
      </w:pPr>
      <w:r>
        <w:t xml:space="preserve">The PDF is the output for v1. E-signature integration is out of scope; parties use their existing signing processes.</w:t>
      </w:r>
    </w:p>
    <w:p>
      <w:pPr>
        <w:pStyle w:val="Heading2"/>
        <w:spacing w:after="120" w:before="240"/>
      </w:pPr>
      <w:r>
        <w:t xml:space="preserve">3.5 Related Contracts</w:t>
      </w:r>
    </w:p>
    <w:p>
      <w:pPr>
        <w:spacing w:after="120"/>
      </w:pPr>
      <w:r>
        <w:t xml:space="preserve">A finalised contract cannot be amended. Post-signature changes are handled through addenda or change orders, which are separate contracts in the system linked to the parent contract. When negotiating an addendum, users can view the parent contract’s terms alongside the new document for context.</w:t>
      </w:r>
    </w:p>
    <w:p>
      <w:pPr>
        <w:pBdr>
          <w:bottom w:val="single" w:color="2B5797" w:sz="2" w:space="1"/>
        </w:pBdr>
        <w:spacing w:after="200" w:before="200"/>
      </w:pPr>
    </w:p>
    <w:p>
      <w:pPr>
        <w:pStyle w:val="Heading1"/>
        <w:spacing w:after="120" w:before="240"/>
      </w:pPr>
      <w:r>
        <w:t xml:space="preserve">4. Contract Upload and Parsing</w:t>
      </w:r>
    </w:p>
    <w:p>
      <w:pPr>
        <w:pStyle w:val="Heading2"/>
        <w:spacing w:after="120" w:before="240"/>
      </w:pPr>
      <w:r>
        <w:t xml:space="preserve">4.1 Supported Input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PDF (native text)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PDF documents with selectable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PDF (scanned)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Scanned documents processed via LLM vision capabilities. If the system cannot reliably parse a scanned PDF, the user is refunded the per-contract fee.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Word documents (.docx)</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Microsoft Word format, the most common format for contract negotiation.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Pasted text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Free-text input for users copying content from websites, emails, or other sources. Primary method for reviewing website terms and conditions.</w:t>
            </w:r>
          </w:p>
        </w:tc>
      </w:tr>
    </w:tbl>
    <w:p>
      <w:pPr>
        <w:pStyle w:val="Heading2"/>
        <w:spacing w:after="120" w:before="240"/>
      </w:pPr>
      <w:r>
        <w:t xml:space="preserve">4.2 Parsing Process</w:t>
      </w:r>
    </w:p>
    <w:p>
      <w:pPr>
        <w:pStyle w:val="ListParagraph"/>
        <w:numPr>
          <w:ilvl w:val="0"/>
          <w:numId w:val="2"/>
        </w:numPr>
        <w:spacing w:after="60"/>
      </w:pPr>
      <w:r>
        <w:t xml:space="preserve">On upload, the AI parses the contract into a structured clause-by-clause representation. Each clause receives a stable internal identifier independent of its display number.</w:t>
      </w:r>
    </w:p>
    <w:p>
      <w:pPr>
        <w:pStyle w:val="ListParagraph"/>
        <w:numPr>
          <w:ilvl w:val="0"/>
          <w:numId w:val="2"/>
        </w:numPr>
        <w:spacing w:after="60"/>
      </w:pPr>
      <w:r>
        <w:t xml:space="preserve">Processing may take up to a few minutes. The user receives a notification when analysis is complete.</w:t>
      </w:r>
    </w:p>
    <w:p>
      <w:pPr>
        <w:pStyle w:val="ListParagraph"/>
        <w:numPr>
          <w:ilvl w:val="0"/>
          <w:numId w:val="2"/>
        </w:numPr>
        <w:spacing w:after="60"/>
      </w:pPr>
      <w:r>
        <w:t xml:space="preserve">The system identifies and maps cross-references between clauses, such as references to other clause numbers, sections, or provisions described by name.</w:t>
      </w:r>
    </w:p>
    <w:p>
      <w:pPr>
        <w:pStyle w:val="ListParagraph"/>
        <w:numPr>
          <w:ilvl w:val="0"/>
          <w:numId w:val="2"/>
        </w:numPr>
        <w:spacing w:after="60"/>
      </w:pPr>
      <w:r>
        <w:t xml:space="preserve">The system assigns a confidence level to the parsing. For well-structured contracts, the user proceeds directly to working with the document. For contracts with unusual or ambiguous structure, the system flags specific areas where the parsing may be inaccurate and invites the user to verify, for example: “We weren’t sure where clause 7 ends and clause 8 begins — can you check this section.”</w:t>
      </w:r>
    </w:p>
    <w:p>
      <w:pPr>
        <w:pStyle w:val="Heading2"/>
        <w:spacing w:after="120" w:before="240"/>
      </w:pPr>
      <w:r>
        <w:t xml:space="preserve">4.3 Contract Structure</w:t>
      </w:r>
    </w:p>
    <w:p>
      <w:pPr>
        <w:spacing w:after="120"/>
      </w:pPr>
      <w:r>
        <w:t xml:space="preserve">A contract in the system is a container with distinct sections:</w:t>
      </w:r>
    </w:p>
    <w:p>
      <w:pPr>
        <w:pStyle w:val="ListParagraph"/>
        <w:numPr>
          <w:ilvl w:val="0"/>
          <w:numId w:val="2"/>
        </w:numPr>
        <w:spacing w:after="60"/>
      </w:pPr>
      <w:r>
        <w:rPr>
          <w:b/>
          <w:bCs/>
        </w:rPr>
        <w:t xml:space="preserve">Legal terms: </w:t>
      </w:r>
      <w:r>
        <w:t xml:space="preserve">Fully parsed into clauses with the complete smart analysis layer, including AI explanations, dependency mapping, cross-references, and configurable variables.</w:t>
      </w:r>
    </w:p>
    <w:p>
      <w:pPr>
        <w:pStyle w:val="ListParagraph"/>
        <w:numPr>
          <w:ilvl w:val="0"/>
          <w:numId w:val="2"/>
        </w:numPr>
        <w:spacing w:after="60"/>
      </w:pPr>
      <w:r>
        <w:rPr>
          <w:b/>
          <w:bCs/>
        </w:rPr>
        <w:t xml:space="preserve">Schedules and annexures: </w:t>
      </w:r>
      <w:r>
        <w:t xml:space="preserve">Managed as attached documents within the contract. They are versioned and support change tracking and conversation threads, but are not parsed into structured clauses or analysed for dependencies. These are identified and managed as distinct sections, for example: Commercial Terms, Terms and Conditions, Schedule A.</w:t>
      </w:r>
    </w:p>
    <w:p>
      <w:pPr>
        <w:pBdr>
          <w:bottom w:val="single" w:color="2B5797" w:sz="2" w:space="1"/>
        </w:pBdr>
        <w:spacing w:after="200" w:before="200"/>
      </w:pPr>
    </w:p>
    <w:p>
      <w:pPr>
        <w:pStyle w:val="Heading1"/>
        <w:spacing w:after="120" w:before="240"/>
      </w:pPr>
      <w:r>
        <w:t xml:space="preserve">5. AI and Analysis Layer</w:t>
      </w:r>
    </w:p>
    <w:p>
      <w:pPr>
        <w:pStyle w:val="Heading2"/>
        <w:spacing w:after="120" w:before="240"/>
      </w:pPr>
      <w:r>
        <w:t xml:space="preserve">5.1 Core AI Capabilities</w:t>
      </w:r>
    </w:p>
    <w:p>
      <w:pPr>
        <w:spacing w:after="120"/>
      </w:pPr>
      <w:r>
        <w:rPr>
          <w:b/>
          <w:bCs/>
        </w:rPr>
        <w:t xml:space="preserve">Plain-language explanations</w:t>
      </w:r>
    </w:p>
    <w:p>
      <w:pPr>
        <w:pStyle w:val="ListParagraph"/>
        <w:numPr>
          <w:ilvl w:val="0"/>
          <w:numId w:val="2"/>
        </w:numPr>
        <w:spacing w:after="60"/>
      </w:pPr>
      <w:r>
        <w:t xml:space="preserve">Every clause can be clicked or selected to display a plain-language explanation of its intent and effect.</w:t>
      </w:r>
    </w:p>
    <w:p>
      <w:pPr>
        <w:pStyle w:val="ListParagraph"/>
        <w:numPr>
          <w:ilvl w:val="0"/>
          <w:numId w:val="2"/>
        </w:numPr>
        <w:spacing w:after="60"/>
      </w:pPr>
      <w:r>
        <w:t xml:space="preserve">Explanations are contextual: if the user has provided information about their situation, industry, or jurisdiction, the explanation is tailored accordingly.</w:t>
      </w:r>
    </w:p>
    <w:p>
      <w:pPr>
        <w:pStyle w:val="ListParagraph"/>
        <w:numPr>
          <w:ilvl w:val="0"/>
          <w:numId w:val="2"/>
        </w:numPr>
        <w:spacing w:after="60"/>
      </w:pPr>
      <w:r>
        <w:t xml:space="preserve">For the consumer/SMB entry point, the system also generates an overall summary of key points that should be considered before agreeing to the contract.</w:t>
      </w:r>
    </w:p>
    <w:p>
      <w:pPr>
        <w:spacing w:after="120"/>
      </w:pPr>
    </w:p>
    <w:p>
      <w:pPr>
        <w:spacing w:after="120"/>
      </w:pPr>
      <w:r>
        <w:rPr>
          <w:b/>
          <w:bCs/>
        </w:rPr>
        <w:t xml:space="preserve">Risk and implications flagging</w:t>
      </w:r>
    </w:p>
    <w:p>
      <w:pPr>
        <w:pStyle w:val="ListParagraph"/>
        <w:numPr>
          <w:ilvl w:val="0"/>
          <w:numId w:val="2"/>
        </w:numPr>
        <w:spacing w:after="60"/>
      </w:pPr>
      <w:r>
        <w:t xml:space="preserve">The system identifies clauses that may present risk to the user based on their context, jurisdiction, and the type of contract.</w:t>
      </w:r>
    </w:p>
    <w:p>
      <w:pPr>
        <w:pStyle w:val="ListParagraph"/>
        <w:numPr>
          <w:ilvl w:val="0"/>
          <w:numId w:val="2"/>
        </w:numPr>
        <w:spacing w:after="60"/>
      </w:pPr>
      <w:r>
        <w:t xml:space="preserve">Flagging includes unusual terms, terms that deviate from standard practice, and potential enforceability concerns.</w:t>
      </w:r>
    </w:p>
    <w:p>
      <w:pPr>
        <w:pStyle w:val="ListParagraph"/>
        <w:numPr>
          <w:ilvl w:val="0"/>
          <w:numId w:val="2"/>
        </w:numPr>
        <w:spacing w:after="60"/>
      </w:pPr>
      <w:r>
        <w:t xml:space="preserve">The system should surface ambiguities and conflicts in legislation where relevant, rather than presenting a single definitive interpretation.</w:t>
      </w:r>
    </w:p>
    <w:p>
      <w:pPr>
        <w:spacing w:after="120"/>
      </w:pPr>
    </w:p>
    <w:p>
      <w:pPr>
        <w:spacing w:after="120"/>
      </w:pPr>
      <w:r>
        <w:rPr>
          <w:b/>
          <w:bCs/>
        </w:rPr>
        <w:t xml:space="preserve">Dependency mapping</w:t>
      </w:r>
    </w:p>
    <w:p>
      <w:pPr>
        <w:pStyle w:val="ListParagraph"/>
        <w:numPr>
          <w:ilvl w:val="0"/>
          <w:numId w:val="2"/>
        </w:numPr>
        <w:spacing w:after="60"/>
      </w:pPr>
      <w:r>
        <w:t xml:space="preserve">The system identifies relationships between clauses, such as acceptance terms that relate to IP provisions, or payment terms that connect to liability clauses.</w:t>
      </w:r>
    </w:p>
    <w:p>
      <w:pPr>
        <w:pStyle w:val="ListParagraph"/>
        <w:numPr>
          <w:ilvl w:val="0"/>
          <w:numId w:val="2"/>
        </w:numPr>
        <w:spacing w:after="60"/>
      </w:pPr>
      <w:r>
        <w:t xml:space="preserve">When a user proposes or reviews a change to a clause, the system highlights other clauses that may be affected and explains the potential implications.</w:t>
      </w:r>
    </w:p>
    <w:p>
      <w:pPr>
        <w:spacing w:after="120"/>
      </w:pPr>
    </w:p>
    <w:p>
      <w:pPr>
        <w:spacing w:after="120"/>
      </w:pPr>
      <w:r>
        <w:rPr>
          <w:b/>
          <w:bCs/>
        </w:rPr>
        <w:t xml:space="preserve">Intent-based editing</w:t>
      </w:r>
    </w:p>
    <w:p>
      <w:pPr>
        <w:pStyle w:val="ListParagraph"/>
        <w:numPr>
          <w:ilvl w:val="0"/>
          <w:numId w:val="2"/>
        </w:numPr>
        <w:spacing w:after="60"/>
      </w:pPr>
      <w:r>
        <w:t xml:space="preserve">A user can express a desired outcome in plain language, such as “I want to ensure I have full IP ownership” or “I need more time to pay.”</w:t>
      </w:r>
    </w:p>
    <w:p>
      <w:pPr>
        <w:pStyle w:val="ListParagraph"/>
        <w:numPr>
          <w:ilvl w:val="0"/>
          <w:numId w:val="2"/>
        </w:numPr>
        <w:spacing w:after="60"/>
      </w:pPr>
      <w:r>
        <w:t xml:space="preserve">The system translates this intent into specific suggested clause-level changes.</w:t>
      </w:r>
    </w:p>
    <w:p>
      <w:pPr>
        <w:pStyle w:val="ListParagraph"/>
        <w:numPr>
          <w:ilvl w:val="0"/>
          <w:numId w:val="2"/>
        </w:numPr>
        <w:spacing w:after="60"/>
      </w:pPr>
      <w:r>
        <w:t xml:space="preserve">Suggestions are always presented as proposals that the user must explicitly review and accept. The system never modifies contract text automatically.</w:t>
      </w:r>
    </w:p>
    <w:p>
      <w:pPr>
        <w:pStyle w:val="ListParagraph"/>
        <w:numPr>
          <w:ilvl w:val="0"/>
          <w:numId w:val="2"/>
        </w:numPr>
        <w:spacing w:after="60"/>
      </w:pPr>
      <w:r>
        <w:t xml:space="preserve">The user can also propose changes directly in legal language, bypassing the intent translation.</w:t>
      </w:r>
    </w:p>
    <w:p>
      <w:pPr>
        <w:pStyle w:val="Heading2"/>
        <w:spacing w:after="120" w:before="240"/>
      </w:pPr>
      <w:r>
        <w:t xml:space="preserve">5.2 Jurisdictional Awareness</w:t>
      </w:r>
    </w:p>
    <w:p>
      <w:pPr>
        <w:pStyle w:val="ListParagraph"/>
        <w:numPr>
          <w:ilvl w:val="0"/>
          <w:numId w:val="2"/>
        </w:numPr>
        <w:spacing w:after="60"/>
      </w:pPr>
      <w:r>
        <w:t xml:space="preserve">Each party nominates their specific jurisdiction during onboarding or contract setup.</w:t>
      </w:r>
    </w:p>
    <w:p>
      <w:pPr>
        <w:pStyle w:val="ListParagraph"/>
        <w:numPr>
          <w:ilvl w:val="0"/>
          <w:numId w:val="2"/>
        </w:numPr>
        <w:spacing w:after="60"/>
      </w:pPr>
      <w:r>
        <w:t xml:space="preserve">The AI uses jurisdictional context to inform its analysis, flag potential issues, and contextualise explanations.</w:t>
      </w:r>
    </w:p>
    <w:p>
      <w:pPr>
        <w:pStyle w:val="ListParagraph"/>
        <w:numPr>
          <w:ilvl w:val="0"/>
          <w:numId w:val="2"/>
        </w:numPr>
        <w:spacing w:after="60"/>
      </w:pPr>
      <w:r>
        <w:t xml:space="preserve">The system is not definitive on legal interpretation. It surfaces potential issues and ambiguities but always recommends engaging a lawyer for high-stakes decisions.</w:t>
      </w:r>
    </w:p>
    <w:p>
      <w:pPr>
        <w:pStyle w:val="ListParagraph"/>
        <w:numPr>
          <w:ilvl w:val="0"/>
          <w:numId w:val="2"/>
        </w:numPr>
        <w:spacing w:after="60"/>
      </w:pPr>
      <w:r>
        <w:t xml:space="preserve">The platform launches with an initial focus on Australian law but does not restrict users by geography. Analysis quality may vary by jurisdiction.</w:t>
      </w:r>
    </w:p>
    <w:p>
      <w:pPr>
        <w:pStyle w:val="Heading2"/>
        <w:spacing w:after="120" w:before="240"/>
      </w:pPr>
      <w:r>
        <w:t xml:space="preserve">5.3 Send to My Lawyer</w:t>
      </w:r>
    </w:p>
    <w:p>
      <w:pPr>
        <w:spacing w:after="120"/>
      </w:pPr>
      <w:r>
        <w:t xml:space="preserve">At any point, a user can invoke a “send to my lawyer” function. This packages the contract, the user’s specific questions and concerns, and relevant AI analysis into a format that can be shared with their legal advisor. This reframes the platform’s role: it helps users prepare better, more specific questions for their lawyer rather than replacing legal advice.</w:t>
      </w:r>
    </w:p>
    <w:p>
      <w:pPr>
        <w:pStyle w:val="Heading2"/>
        <w:spacing w:after="120" w:before="240"/>
      </w:pPr>
      <w:r>
        <w:t xml:space="preserve">5.4 Liability and Disclaimers</w:t>
      </w:r>
    </w:p>
    <w:p>
      <w:pPr>
        <w:pStyle w:val="ListParagraph"/>
        <w:numPr>
          <w:ilvl w:val="0"/>
          <w:numId w:val="2"/>
        </w:numPr>
        <w:spacing w:after="60"/>
      </w:pPr>
      <w:r>
        <w:t xml:space="preserve">The platform is explicitly not providing legal advice. This is communicated clearly throughout the experience, not just in a footer disclaimer.</w:t>
      </w:r>
    </w:p>
    <w:p>
      <w:pPr>
        <w:pStyle w:val="ListParagraph"/>
        <w:numPr>
          <w:ilvl w:val="0"/>
          <w:numId w:val="2"/>
        </w:numPr>
        <w:spacing w:after="60"/>
      </w:pPr>
      <w:r>
        <w:t xml:space="preserve">AI-generated suggestions and analysis are presented as informational aids, with appropriate caveats about potential gaps, particularly around jurisdiction-specific case law, regulatory guidance, and local practice norms.</w:t>
      </w:r>
    </w:p>
    <w:p>
      <w:pPr>
        <w:pStyle w:val="ListParagraph"/>
        <w:numPr>
          <w:ilvl w:val="0"/>
          <w:numId w:val="2"/>
        </w:numPr>
        <w:spacing w:after="60"/>
      </w:pPr>
      <w:r>
        <w:t xml:space="preserve">The intent-to-clause translation feature requires explicit user acceptance before any changes are applied, ensuring the user takes agency over all modifications.</w:t>
      </w:r>
    </w:p>
    <w:p>
      <w:pPr>
        <w:pBdr>
          <w:bottom w:val="single" w:color="2B5797" w:sz="2" w:space="1"/>
        </w:pBdr>
        <w:spacing w:after="200" w:before="200"/>
      </w:pPr>
    </w:p>
    <w:p>
      <w:pPr>
        <w:pStyle w:val="Heading1"/>
        <w:spacing w:after="120" w:before="240"/>
      </w:pPr>
      <w:r>
        <w:t xml:space="preserve">6. Collaboration and Communication</w:t>
      </w:r>
    </w:p>
    <w:p>
      <w:pPr>
        <w:pStyle w:val="Heading2"/>
        <w:spacing w:after="120" w:before="240"/>
      </w:pPr>
      <w:r>
        <w:t xml:space="preserve">6.1 Context Layers</w:t>
      </w:r>
    </w:p>
    <w:p>
      <w:pPr>
        <w:spacing w:after="120"/>
      </w:pPr>
      <w:r>
        <w:t xml:space="preserve">Every clause in a contract has multiple layers of context, each visible only to appropriate parties: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c>
          <w:tcPr>
            <w:tcW w:type="dxa" w:w="4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Clause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parties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actual contract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AI-generated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parties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Plain-language explanation, risk flags, and dependency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meta-context (template 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owner’s organisation and invited collaborators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Company-level guidance that applies to all contracts using this template, such as “Never concede on this clause — board policy” or “This is flexible, we use it as a negotiation chip.”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meta-context (contract 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owner’s organisation and invited collaborators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Contract-specific notes from colleagues, such as “The client pushed hard on this last time and we gave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 meta-context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parties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the contract owner has added to help the counterparty understand a clause, such as “We include this clause because of requirement 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Negotiation thread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parties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Questions, proposed changes, responses, and discussion tied to the specific clause.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Private notes (counterparty side)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Counterparty and their collaborators only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counterparty’s own internal notes and discussions, invisible to the contract owner.</w:t>
            </w:r>
          </w:p>
        </w:tc>
      </w:tr>
    </w:tbl>
    <w:p>
      <w:pPr>
        <w:spacing w:after="120"/>
      </w:pPr>
    </w:p>
    <w:p>
      <w:pPr>
        <w:spacing w:after="120"/>
      </w:pPr>
      <w:r>
        <w:t xml:space="preserve">Template-level and contract-level internal context stack: a reviewer sees both the standing company guidance and any contract-specific notes from colleagues when reviewing a clause.</w:t>
      </w:r>
    </w:p>
    <w:p>
      <w:pPr>
        <w:pStyle w:val="Heading2"/>
        <w:spacing w:after="120" w:before="240"/>
      </w:pPr>
      <w:r>
        <w:t xml:space="preserve">6.2 Clause-Level Conversation Threads</w:t>
      </w:r>
    </w:p>
    <w:p>
      <w:pPr>
        <w:pStyle w:val="ListParagraph"/>
        <w:numPr>
          <w:ilvl w:val="0"/>
          <w:numId w:val="2"/>
        </w:numPr>
        <w:spacing w:after="60"/>
      </w:pPr>
      <w:r>
        <w:t xml:space="preserve">All conversations about a specific clause are threaded and anchored to that clause, providing a persistent history of the negotiation on that point.</w:t>
      </w:r>
    </w:p>
    <w:p>
      <w:pPr>
        <w:pStyle w:val="ListParagraph"/>
        <w:numPr>
          <w:ilvl w:val="0"/>
          <w:numId w:val="2"/>
        </w:numPr>
        <w:spacing w:after="60"/>
      </w:pPr>
      <w:r>
        <w:t xml:space="preserve">Conversation threads persist through the entire negotiation lifecycle. A user returning after two weeks can see the full history of discussion on any clause.</w:t>
      </w:r>
    </w:p>
    <w:p>
      <w:pPr>
        <w:pStyle w:val="ListParagraph"/>
        <w:numPr>
          <w:ilvl w:val="0"/>
          <w:numId w:val="2"/>
        </w:numPr>
        <w:spacing w:after="60"/>
      </w:pPr>
      <w:r>
        <w:t xml:space="preserve">Threads can be acknowledged or resolved to reduce visual clutter, but resolved threads remain accessible for reference.</w:t>
      </w:r>
    </w:p>
    <w:p>
      <w:pPr>
        <w:pStyle w:val="ListParagraph"/>
        <w:numPr>
          <w:ilvl w:val="0"/>
          <w:numId w:val="2"/>
        </w:numPr>
        <w:spacing w:after="60"/>
      </w:pPr>
      <w:r>
        <w:t xml:space="preserve">This replaces the email-based negotiation pattern where context is lost with every new document version.</w:t>
      </w:r>
    </w:p>
    <w:p>
      <w:pPr>
        <w:pStyle w:val="Heading2"/>
        <w:spacing w:after="120" w:before="240"/>
      </w:pPr>
      <w:r>
        <w:t xml:space="preserve">6.3 Contract-Level Communication</w:t>
      </w:r>
    </w:p>
    <w:p>
      <w:pPr>
        <w:pStyle w:val="ListParagraph"/>
        <w:numPr>
          <w:ilvl w:val="0"/>
          <w:numId w:val="2"/>
        </w:numPr>
        <w:spacing w:after="60"/>
      </w:pPr>
      <w:r>
        <w:t xml:space="preserve">In addition to clause-level threads, users can include summary notes when publishing changes to the counterparty, providing contract-wide context such as “We’re open to flexibility on commercial terms if the IP position is firm.”</w:t>
      </w:r>
    </w:p>
    <w:p>
      <w:pPr>
        <w:pStyle w:val="Heading2"/>
        <w:spacing w:after="120" w:before="240"/>
      </w:pPr>
      <w:r>
        <w:t xml:space="preserve">6.4 Counterparty Experience</w:t>
      </w:r>
    </w:p>
    <w:p>
      <w:pPr>
        <w:pStyle w:val="ListParagraph"/>
        <w:numPr>
          <w:ilvl w:val="0"/>
          <w:numId w:val="2"/>
        </w:numPr>
        <w:spacing w:after="60"/>
      </w:pPr>
      <w:r>
        <w:t xml:space="preserve">The counterparty receives a link via email and authenticates with a simple email OTP flow. No account creation required.</w:t>
      </w:r>
    </w:p>
    <w:p>
      <w:pPr>
        <w:pStyle w:val="ListParagraph"/>
        <w:numPr>
          <w:ilvl w:val="0"/>
          <w:numId w:val="2"/>
        </w:numPr>
        <w:spacing w:after="60"/>
      </w:pPr>
      <w:r>
        <w:t xml:space="preserve">The counterparty has access to the full contract experience: clause-level explanations, the ability to annotate, propose changes, ask questions, and see dependency implications.</w:t>
      </w:r>
    </w:p>
    <w:p>
      <w:pPr>
        <w:pStyle w:val="ListParagraph"/>
        <w:numPr>
          <w:ilvl w:val="0"/>
          <w:numId w:val="2"/>
        </w:numPr>
        <w:spacing w:after="60"/>
      </w:pPr>
      <w:r>
        <w:t xml:space="preserve">The counterparty can engage with any part of the contract, not just the clauses the sender flagged. They can raise their own concerns, propose changes to untouched clauses, and negotiate trade-offs across different provisions.</w:t>
      </w:r>
    </w:p>
    <w:p>
      <w:pPr>
        <w:pStyle w:val="ListParagraph"/>
        <w:numPr>
          <w:ilvl w:val="0"/>
          <w:numId w:val="2"/>
        </w:numPr>
        <w:spacing w:after="60"/>
      </w:pPr>
      <w:r>
        <w:t xml:space="preserve">The counterparty does not see the sender’s internal annotations, private context, or internal team discussions.</w:t>
      </w:r>
    </w:p>
    <w:p>
      <w:pPr>
        <w:pStyle w:val="ListParagraph"/>
        <w:numPr>
          <w:ilvl w:val="0"/>
          <w:numId w:val="2"/>
        </w:numPr>
        <w:spacing w:after="60"/>
      </w:pPr>
      <w:r>
        <w:t xml:space="preserve">The counterparty has their own private context layer for their internal notes.</w:t>
      </w:r>
    </w:p>
    <w:p>
      <w:pPr>
        <w:pBdr>
          <w:bottom w:val="single" w:color="2B5797" w:sz="2" w:space="1"/>
        </w:pBdr>
        <w:spacing w:after="200" w:before="200"/>
      </w:pPr>
    </w:p>
    <w:p>
      <w:pPr>
        <w:pStyle w:val="Heading1"/>
        <w:spacing w:after="120" w:before="240"/>
      </w:pPr>
      <w:r>
        <w:t xml:space="preserve">7. Templates and Configurable Variables</w:t>
      </w:r>
    </w:p>
    <w:p>
      <w:pPr>
        <w:pStyle w:val="Heading2"/>
        <w:spacing w:after="120" w:before="240"/>
      </w:pPr>
      <w:r>
        <w:t xml:space="preserve">7.1 Template Creation</w:t>
      </w:r>
    </w:p>
    <w:p>
      <w:pPr>
        <w:spacing w:after="120"/>
      </w:pPr>
      <w:r>
        <w:t xml:space="preserve">There is no blank-page contract creation. Every template begins with an uploaded contract that is parsed and enhanced:</w:t>
      </w:r>
    </w:p>
    <w:p>
      <w:pPr>
        <w:pStyle w:val="ListParagraph"/>
        <w:numPr>
          <w:ilvl w:val="0"/>
          <w:numId w:val="2"/>
        </w:numPr>
        <w:spacing w:after="60"/>
      </w:pPr>
      <w:r>
        <w:rPr>
          <w:b/>
          <w:bCs/>
        </w:rPr>
        <w:t xml:space="preserve">Step 1: </w:t>
      </w:r>
      <w:r>
        <w:t xml:space="preserve">User uploads their existing standard contract (PDF, Word, or pasted text).</w:t>
      </w:r>
    </w:p>
    <w:p>
      <w:pPr>
        <w:pStyle w:val="ListParagraph"/>
        <w:numPr>
          <w:ilvl w:val="0"/>
          <w:numId w:val="2"/>
        </w:numPr>
        <w:spacing w:after="60"/>
      </w:pPr>
      <w:r>
        <w:rPr>
          <w:b/>
          <w:bCs/>
        </w:rPr>
        <w:t xml:space="preserve">Step 2: </w:t>
      </w:r>
      <w:r>
        <w:t xml:space="preserve">The AI parses the contract into structured clauses and identifies candidate configurable variables, such as payment terms, liability caps, notice periods, and review windows.</w:t>
      </w:r>
    </w:p>
    <w:p>
      <w:pPr>
        <w:pStyle w:val="ListParagraph"/>
        <w:numPr>
          <w:ilvl w:val="0"/>
          <w:numId w:val="2"/>
        </w:numPr>
        <w:spacing w:after="60"/>
      </w:pPr>
      <w:r>
        <w:rPr>
          <w:b/>
          <w:bCs/>
        </w:rPr>
        <w:t xml:space="preserve">Step 3: </w:t>
      </w:r>
      <w:r>
        <w:t xml:space="preserve">The user reviews the suggested variables, accepting, rejecting, or adding their own.</w:t>
      </w:r>
    </w:p>
    <w:p>
      <w:pPr>
        <w:pStyle w:val="ListParagraph"/>
        <w:numPr>
          <w:ilvl w:val="0"/>
          <w:numId w:val="2"/>
        </w:numPr>
        <w:spacing w:after="60"/>
      </w:pPr>
      <w:r>
        <w:rPr>
          <w:b/>
          <w:bCs/>
        </w:rPr>
        <w:t xml:space="preserve">Step 4: </w:t>
      </w:r>
      <w:r>
        <w:t xml:space="preserve">The user adds internal meta-context to clauses (company guidance, negotiation notes) and external meta-context (explanations for counterparties).</w:t>
      </w:r>
    </w:p>
    <w:p>
      <w:pPr>
        <w:pStyle w:val="ListParagraph"/>
        <w:numPr>
          <w:ilvl w:val="0"/>
          <w:numId w:val="2"/>
        </w:numPr>
        <w:spacing w:after="60"/>
      </w:pPr>
      <w:r>
        <w:rPr>
          <w:b/>
          <w:bCs/>
        </w:rPr>
        <w:t xml:space="preserve">Step 5: </w:t>
      </w:r>
      <w:r>
        <w:t xml:space="preserve">The enhanced contract is saved as a reusable company template.</w:t>
      </w:r>
    </w:p>
    <w:p>
      <w:pPr>
        <w:pStyle w:val="Heading2"/>
        <w:spacing w:after="120" w:before="240"/>
      </w:pPr>
      <w:r>
        <w:t xml:space="preserve">7.2 Configurable Variables</w:t>
      </w:r>
    </w:p>
    <w:p>
      <w:pPr>
        <w:pStyle w:val="ListParagraph"/>
        <w:numPr>
          <w:ilvl w:val="0"/>
          <w:numId w:val="2"/>
        </w:numPr>
        <w:spacing w:after="60"/>
      </w:pPr>
      <w:r>
        <w:t xml:space="preserve">Variables are data elements embedded in the contract that can be set when creating a new contract from a template, such as: client name, payment terms (days), liability cap (currency value), notice period (days), review window (days), change request rates (currency value).</w:t>
      </w:r>
    </w:p>
    <w:p>
      <w:pPr>
        <w:pStyle w:val="ListParagraph"/>
        <w:numPr>
          <w:ilvl w:val="0"/>
          <w:numId w:val="2"/>
        </w:numPr>
        <w:spacing w:after="60"/>
      </w:pPr>
      <w:r>
        <w:t xml:space="preserve">Variables are simple data types in v1: numbers or text values. Policy-based constraints (minimum/maximum values, approval triggers for out-of-range values) are roadmapped for a future release.</w:t>
      </w:r>
    </w:p>
    <w:p>
      <w:pPr>
        <w:pStyle w:val="ListParagraph"/>
        <w:numPr>
          <w:ilvl w:val="0"/>
          <w:numId w:val="2"/>
        </w:numPr>
        <w:spacing w:after="60"/>
      </w:pPr>
      <w:r>
        <w:t xml:space="preserve">When a variable is changed, the system highlights every clause in the contract that is affected by the change, so the user sees exactly where and how the value is used.</w:t>
      </w:r>
    </w:p>
    <w:p>
      <w:pPr>
        <w:pStyle w:val="Heading2"/>
        <w:spacing w:after="120" w:before="240"/>
      </w:pPr>
      <w:r>
        <w:t xml:space="preserve">7.3 Using Templates</w:t>
      </w:r>
    </w:p>
    <w:p>
      <w:pPr>
        <w:spacing w:after="120"/>
      </w:pPr>
      <w:r>
        <w:t xml:space="preserve">When creating a new contract from a template, the user sets the variable values and sees the contract update with all affected clauses highlighted. The template’s internal meta-context is carried forward, giving users immediate access to company guidance on each clause.</w:t>
      </w:r>
    </w:p>
    <w:p>
      <w:pPr>
        <w:pBdr>
          <w:bottom w:val="single" w:color="2B5797" w:sz="2" w:space="1"/>
        </w:pBdr>
        <w:spacing w:after="200" w:before="200"/>
      </w:pPr>
    </w:p>
    <w:p>
      <w:pPr>
        <w:pStyle w:val="Heading1"/>
        <w:spacing w:after="120" w:before="240"/>
      </w:pPr>
      <w:r>
        <w:t xml:space="preserve">8. Version Comparison and Change Tracking</w:t>
      </w:r>
    </w:p>
    <w:p>
      <w:pPr>
        <w:pStyle w:val="Heading2"/>
        <w:spacing w:after="120" w:before="240"/>
      </w:pPr>
      <w:r>
        <w:t xml:space="preserve">8.1 Comparison Views</w:t>
      </w:r>
    </w:p>
    <w:p>
      <w:pPr>
        <w:spacing w:after="120"/>
      </w:pPr>
      <w:r>
        <w:t xml:space="preserve">The platform provides two primary comparison views:</w:t>
      </w:r>
    </w:p>
    <w:p>
      <w:pPr>
        <w:spacing w:after="120"/>
      </w:pPr>
    </w:p>
    <w:p>
      <w:pPr>
        <w:spacing w:after="120"/>
      </w:pPr>
      <w:r>
        <w:rPr>
          <w:b/>
          <w:bCs/>
        </w:rPr>
        <w:t xml:space="preserve">Round-by-round comparison: </w:t>
      </w:r>
      <w:r>
        <w:t xml:space="preserve">Shows exactly what changed in the counterparty’s most recent response. This is the critical view for the review workflow, allowing the user to see precisely what was modified, added, or removed in each round of negotiation.</w:t>
      </w:r>
    </w:p>
    <w:p>
      <w:pPr>
        <w:spacing w:after="120"/>
      </w:pPr>
    </w:p>
    <w:p>
      <w:pPr>
        <w:spacing w:after="120"/>
      </w:pPr>
      <w:r>
        <w:rPr>
          <w:b/>
          <w:bCs/>
        </w:rPr>
        <w:t xml:space="preserve">Drift from baseline: </w:t>
      </w:r>
      <w:r>
        <w:t xml:space="preserve">Shows the cumulative changes from the original starting point of the contract at any time. This includes both textual changes to clauses and a summary of how configurable variables have moved, such as: “Payment terms moved from 30 days to 45 days, liability cap moved from contract value to 2x contract value.” This provides a dashboard-level view of the overall negotiating position.</w:t>
      </w:r>
    </w:p>
    <w:p>
      <w:pPr>
        <w:pStyle w:val="Heading2"/>
        <w:spacing w:after="120" w:before="240"/>
      </w:pPr>
      <w:r>
        <w:t xml:space="preserve">8.2 Cross-Reference Management</w:t>
      </w:r>
    </w:p>
    <w:p>
      <w:pPr>
        <w:pStyle w:val="ListParagraph"/>
        <w:numPr>
          <w:ilvl w:val="0"/>
          <w:numId w:val="2"/>
        </w:numPr>
        <w:spacing w:after="60"/>
      </w:pPr>
      <w:r>
        <w:t xml:space="preserve">Each clause has a stable internal identifier independent of its display number.</w:t>
      </w:r>
    </w:p>
    <w:p>
      <w:pPr>
        <w:pStyle w:val="ListParagraph"/>
        <w:numPr>
          <w:ilvl w:val="0"/>
          <w:numId w:val="2"/>
        </w:numPr>
        <w:spacing w:after="60"/>
      </w:pPr>
      <w:r>
        <w:t xml:space="preserve">Cross-references between clauses are stored as links between clause identifiers, not between display numbers.</w:t>
      </w:r>
    </w:p>
    <w:p>
      <w:pPr>
        <w:pStyle w:val="ListParagraph"/>
        <w:numPr>
          <w:ilvl w:val="0"/>
          <w:numId w:val="2"/>
        </w:numPr>
        <w:spacing w:after="60"/>
      </w:pPr>
      <w:r>
        <w:t xml:space="preserve">When clauses are inserted, removed, or reordered, all cross-references update automatically.</w:t>
      </w:r>
    </w:p>
    <w:p>
      <w:pPr>
        <w:pStyle w:val="ListParagraph"/>
        <w:numPr>
          <w:ilvl w:val="0"/>
          <w:numId w:val="2"/>
        </w:numPr>
        <w:spacing w:after="60"/>
      </w:pPr>
      <w:r>
        <w:t xml:space="preserve">The generated PDF output reflects the correct, updated numbering and cross-references.</w:t>
      </w:r>
    </w:p>
    <w:p>
      <w:pPr>
        <w:pStyle w:val="ListParagraph"/>
        <w:numPr>
          <w:ilvl w:val="0"/>
          <w:numId w:val="2"/>
        </w:numPr>
        <w:spacing w:after="60"/>
      </w:pPr>
      <w:r>
        <w:t xml:space="preserve">On initial upload, the AI identifies cross-references in the contract text. Ambiguous references (such as “as set out above”) are flagged for user confirmation.</w:t>
      </w:r>
    </w:p>
    <w:p>
      <w:pPr>
        <w:pBdr>
          <w:bottom w:val="single" w:color="2B5797" w:sz="2" w:space="1"/>
        </w:pBdr>
        <w:spacing w:after="200" w:before="200"/>
      </w:pPr>
    </w:p>
    <w:p>
      <w:pPr>
        <w:pStyle w:val="Heading1"/>
        <w:spacing w:after="120" w:before="240"/>
      </w:pPr>
      <w:r>
        <w:t xml:space="preserve">9. Search</w:t>
      </w:r>
    </w:p>
    <w:p>
      <w:pPr>
        <w:pStyle w:val="ListParagraph"/>
        <w:numPr>
          <w:ilvl w:val="0"/>
          <w:numId w:val="2"/>
        </w:numPr>
        <w:spacing w:after="60"/>
      </w:pPr>
      <w:r>
        <w:rPr>
          <w:b/>
          <w:bCs/>
        </w:rPr>
        <w:t xml:space="preserve">Text search: </w:t>
      </w:r>
      <w:r>
        <w:t xml:space="preserve">Search within a contract for specific words or phrases. Available from day one.</w:t>
      </w:r>
    </w:p>
    <w:p>
      <w:pPr>
        <w:pStyle w:val="ListParagraph"/>
        <w:numPr>
          <w:ilvl w:val="0"/>
          <w:numId w:val="2"/>
        </w:numPr>
        <w:spacing w:after="60"/>
      </w:pPr>
      <w:r>
        <w:rPr>
          <w:b/>
          <w:bCs/>
        </w:rPr>
        <w:t xml:space="preserve">Semantic search: </w:t>
      </w:r>
      <w:r>
        <w:t xml:space="preserve">Search by concept or meaning, such as finding all clauses related to liability regardless of specific wording. Fast follow after launch.</w:t>
      </w:r>
    </w:p>
    <w:p>
      <w:pPr>
        <w:pStyle w:val="ListParagraph"/>
        <w:numPr>
          <w:ilvl w:val="0"/>
          <w:numId w:val="2"/>
        </w:numPr>
        <w:spacing w:after="60"/>
      </w:pPr>
      <w:r>
        <w:t xml:space="preserve">Search is scoped to individual contracts in v1. Portfolio-level search across multiple contracts is deferred until user behaviour and scale are better understood.</w:t>
      </w:r>
    </w:p>
    <w:p>
      <w:pPr>
        <w:pBdr>
          <w:bottom w:val="single" w:color="2B5797" w:sz="2" w:space="1"/>
        </w:pBdr>
        <w:spacing w:after="200" w:before="200"/>
      </w:pPr>
    </w:p>
    <w:p>
      <w:pPr>
        <w:pStyle w:val="Heading1"/>
        <w:spacing w:after="120" w:before="240"/>
      </w:pPr>
      <w:r>
        <w:t xml:space="preserve">10. Approval Workflows</w:t>
      </w:r>
    </w:p>
    <w:p>
      <w:pPr>
        <w:pStyle w:val="ListParagraph"/>
        <w:numPr>
          <w:ilvl w:val="0"/>
          <w:numId w:val="2"/>
        </w:numPr>
        <w:spacing w:after="60"/>
      </w:pPr>
      <w:r>
        <w:t xml:space="preserve">Company accounts can configure approval requirements for publishing changes to counterparties.</w:t>
      </w:r>
    </w:p>
    <w:p>
      <w:pPr>
        <w:pStyle w:val="ListParagraph"/>
        <w:numPr>
          <w:ilvl w:val="0"/>
          <w:numId w:val="2"/>
        </w:numPr>
        <w:spacing w:after="60"/>
      </w:pPr>
      <w:r>
        <w:t xml:space="preserve">Permissions for sending are configurable per user or role.</w:t>
      </w:r>
    </w:p>
    <w:p>
      <w:pPr>
        <w:pStyle w:val="ListParagraph"/>
        <w:numPr>
          <w:ilvl w:val="0"/>
          <w:numId w:val="2"/>
        </w:numPr>
        <w:spacing w:after="60"/>
      </w:pPr>
      <w:r>
        <w:t xml:space="preserve">When an approval is required, the designated approver is notified and can review the proposed changes, including a clear view of any divergence from standard template terms.</w:t>
      </w:r>
    </w:p>
    <w:p>
      <w:pPr>
        <w:pStyle w:val="ListParagraph"/>
        <w:numPr>
          <w:ilvl w:val="0"/>
          <w:numId w:val="2"/>
        </w:numPr>
        <w:spacing w:after="60"/>
      </w:pPr>
      <w:r>
        <w:t xml:space="preserve">The approval step can be configured at different points: before initial send, before accepting counterparty changes, or at every publish step.</w:t>
      </w:r>
    </w:p>
    <w:p>
      <w:pPr>
        <w:pBdr>
          <w:bottom w:val="single" w:color="2B5797" w:sz="2" w:space="1"/>
        </w:pBdr>
        <w:spacing w:after="200" w:before="200"/>
      </w:pPr>
    </w:p>
    <w:p>
      <w:pPr>
        <w:pStyle w:val="Heading1"/>
        <w:spacing w:after="120" w:before="240"/>
      </w:pPr>
      <w:r>
        <w:t xml:space="preserve">11. Audit Trail and Data</w:t>
      </w:r>
    </w:p>
    <w:p>
      <w:pPr>
        <w:pStyle w:val="Heading2"/>
        <w:spacing w:after="120" w:before="240"/>
      </w:pPr>
      <w:r>
        <w:t xml:space="preserve">11.1 Audit Trail</w:t>
      </w:r>
    </w:p>
    <w:p>
      <w:pPr>
        <w:spacing w:after="120"/>
      </w:pPr>
      <w:r>
        <w:t xml:space="preserve">The platform maintains a complete, immutable audit trail of every action taken on a contract: every change proposed, every comment made, every publish event, every approval decision. This record has value as evidence of negotiation history in the event of a dispute.</w:t>
      </w:r>
    </w:p>
    <w:p>
      <w:pPr>
        <w:pStyle w:val="Heading2"/>
        <w:spacing w:after="120" w:before="240"/>
      </w:pPr>
      <w:r>
        <w:t xml:space="preserve">11.2 Data Ownership</w:t>
      </w:r>
    </w:p>
    <w:p>
      <w:pPr>
        <w:pStyle w:val="ListParagraph"/>
        <w:numPr>
          <w:ilvl w:val="0"/>
          <w:numId w:val="2"/>
        </w:numPr>
        <w:spacing w:after="60"/>
      </w:pPr>
      <w:r>
        <w:t xml:space="preserve">All data belongs to the user. Users can export their complete contract data and negotiation history at any time.</w:t>
      </w:r>
    </w:p>
    <w:p>
      <w:pPr>
        <w:pStyle w:val="ListParagraph"/>
        <w:numPr>
          <w:ilvl w:val="0"/>
          <w:numId w:val="2"/>
        </w:numPr>
        <w:spacing w:after="60"/>
      </w:pPr>
      <w:r>
        <w:t xml:space="preserve">Users can delete their data from the platform.</w:t>
      </w:r>
    </w:p>
    <w:p>
      <w:pPr>
        <w:pStyle w:val="ListParagraph"/>
        <w:numPr>
          <w:ilvl w:val="0"/>
          <w:numId w:val="2"/>
        </w:numPr>
        <w:spacing w:after="60"/>
      </w:pPr>
      <w:r>
        <w:t xml:space="preserve">Data handling complies with Australian privacy requirements.</w:t>
      </w:r>
    </w:p>
    <w:p>
      <w:pPr>
        <w:pBdr>
          <w:bottom w:val="single" w:color="2B5797" w:sz="2" w:space="1"/>
        </w:pBdr>
        <w:spacing w:after="200" w:before="200"/>
      </w:pPr>
    </w:p>
    <w:p>
      <w:pPr>
        <w:pStyle w:val="Heading1"/>
        <w:spacing w:after="120" w:before="240"/>
      </w:pPr>
      <w:r>
        <w:t xml:space="preserve">12. Security</w:t>
      </w:r>
    </w:p>
    <w:p>
      <w:pPr>
        <w:spacing w:after="120"/>
      </w:pPr>
      <w:r>
        <w:t xml:space="preserve">Given that the platform stores confidential legal negotiations including internal strategic commentary, security is non-negotiable and must be built into the architecture from day one:</w:t>
      </w:r>
    </w:p>
    <w:p>
      <w:pPr>
        <w:pStyle w:val="ListParagraph"/>
        <w:numPr>
          <w:ilvl w:val="0"/>
          <w:numId w:val="2"/>
        </w:numPr>
        <w:spacing w:after="60"/>
      </w:pPr>
      <w:r>
        <w:rPr>
          <w:b/>
          <w:bCs/>
        </w:rPr>
        <w:t xml:space="preserve">Encryption: </w:t>
      </w:r>
      <w:r>
        <w:t xml:space="preserve">All data encrypted at rest and in transit.</w:t>
      </w:r>
    </w:p>
    <w:p>
      <w:pPr>
        <w:pStyle w:val="ListParagraph"/>
        <w:numPr>
          <w:ilvl w:val="0"/>
          <w:numId w:val="2"/>
        </w:numPr>
        <w:spacing w:after="60"/>
      </w:pPr>
      <w:r>
        <w:rPr>
          <w:b/>
          <w:bCs/>
        </w:rPr>
        <w:t xml:space="preserve">Tenant isolation: </w:t>
      </w:r>
      <w:r>
        <w:t xml:space="preserve">Clean separation between company accounts ensuring no possibility of data leakage between organisations.</w:t>
      </w:r>
    </w:p>
    <w:p>
      <w:pPr>
        <w:pStyle w:val="ListParagraph"/>
        <w:numPr>
          <w:ilvl w:val="0"/>
          <w:numId w:val="2"/>
        </w:numPr>
        <w:spacing w:after="60"/>
      </w:pPr>
      <w:r>
        <w:rPr>
          <w:b/>
          <w:bCs/>
        </w:rPr>
        <w:t xml:space="preserve">Access logging: </w:t>
      </w:r>
      <w:r>
        <w:t xml:space="preserve">Comprehensive logging of all access events from launch, supporting future audit and compliance requirements.</w:t>
      </w:r>
    </w:p>
    <w:p>
      <w:pPr>
        <w:pStyle w:val="ListParagraph"/>
        <w:numPr>
          <w:ilvl w:val="0"/>
          <w:numId w:val="2"/>
        </w:numPr>
        <w:spacing w:after="60"/>
      </w:pPr>
      <w:r>
        <w:rPr>
          <w:b/>
          <w:bCs/>
        </w:rPr>
        <w:t xml:space="preserve">Internal context protection: </w:t>
      </w:r>
      <w:r>
        <w:t xml:space="preserve">The separation between internal and external context layers must be architecturally enforced, not just a UI concern. A bug or misconfiguration must not be able to expose internal annotations to a counterparty.</w:t>
      </w:r>
    </w:p>
    <w:p>
      <w:pPr>
        <w:pStyle w:val="ListParagraph"/>
        <w:numPr>
          <w:ilvl w:val="0"/>
          <w:numId w:val="2"/>
        </w:numPr>
        <w:spacing w:after="60"/>
      </w:pPr>
      <w:r>
        <w:rPr>
          <w:b/>
          <w:bCs/>
        </w:rPr>
        <w:t xml:space="preserve">Formal certifications: </w:t>
      </w:r>
      <w:r>
        <w:t xml:space="preserve">SOC 2 and similar certifications are not required at launch but the architecture should support obtaining them when sales conversations require it.</w:t>
      </w:r>
    </w:p>
    <w:p>
      <w:pPr>
        <w:pStyle w:val="ListParagraph"/>
        <w:numPr>
          <w:ilvl w:val="0"/>
          <w:numId w:val="2"/>
        </w:numPr>
        <w:spacing w:after="60"/>
      </w:pPr>
      <w:r>
        <w:rPr>
          <w:b/>
          <w:bCs/>
        </w:rPr>
        <w:t xml:space="preserve">Data residency: </w:t>
      </w:r>
      <w:r>
        <w:t xml:space="preserve">No specific data residency requirements at launch. Can be addressed for specific customers if required.</w:t>
      </w:r>
    </w:p>
    <w:p>
      <w:pPr>
        <w:pBdr>
          <w:bottom w:val="single" w:color="2B5797" w:sz="2" w:space="1"/>
        </w:pBdr>
        <w:spacing w:after="200" w:before="200"/>
      </w:pPr>
    </w:p>
    <w:p>
      <w:pPr>
        <w:pStyle w:val="Heading1"/>
        <w:spacing w:after="120" w:before="240"/>
      </w:pPr>
      <w:r>
        <w:t xml:space="preserve">13. Platform and User Experience</w:t>
      </w:r>
    </w:p>
    <w:p>
      <w:pPr>
        <w:pStyle w:val="Heading2"/>
        <w:spacing w:after="120" w:before="240"/>
      </w:pPr>
      <w:r>
        <w:t xml:space="preserve">13.1 Platform</w:t>
      </w:r>
    </w:p>
    <w:p>
      <w:pPr>
        <w:pStyle w:val="ListParagraph"/>
        <w:numPr>
          <w:ilvl w:val="0"/>
          <w:numId w:val="2"/>
        </w:numPr>
        <w:spacing w:after="60"/>
      </w:pPr>
      <w:r>
        <w:rPr>
          <w:b/>
          <w:bCs/>
        </w:rPr>
        <w:t xml:space="preserve">Desktop web: </w:t>
      </w:r>
      <w:r>
        <w:t xml:space="preserve">Full experience including template management, contract creation, analysis, editing, and negotiation.</w:t>
      </w:r>
    </w:p>
    <w:p>
      <w:pPr>
        <w:pStyle w:val="ListParagraph"/>
        <w:numPr>
          <w:ilvl w:val="0"/>
          <w:numId w:val="2"/>
        </w:numPr>
        <w:spacing w:after="60"/>
      </w:pPr>
      <w:r>
        <w:rPr>
          <w:b/>
          <w:bCs/>
        </w:rPr>
        <w:t xml:space="preserve">Mobile web: </w:t>
      </w:r>
      <w:r>
        <w:t xml:space="preserve">Responsive experience optimised for review, response, and approval actions. Similar to DocuSign or HelloSign’s mobile experience. Complex editing and template setup are desktop activities.</w:t>
      </w:r>
    </w:p>
    <w:p>
      <w:pPr>
        <w:pStyle w:val="ListParagraph"/>
        <w:numPr>
          <w:ilvl w:val="0"/>
          <w:numId w:val="2"/>
        </w:numPr>
        <w:spacing w:after="60"/>
      </w:pPr>
      <w:r>
        <w:t xml:space="preserve">No native mobile app in v1.</w:t>
      </w:r>
    </w:p>
    <w:p>
      <w:pPr>
        <w:pStyle w:val="Heading2"/>
        <w:spacing w:after="120" w:before="240"/>
      </w:pPr>
      <w:r>
        <w:t xml:space="preserve">13.2 Notifications</w:t>
      </w:r>
    </w:p>
    <w:p>
      <w:pPr>
        <w:pStyle w:val="ListParagraph"/>
        <w:numPr>
          <w:ilvl w:val="0"/>
          <w:numId w:val="2"/>
        </w:numPr>
        <w:spacing w:after="60"/>
      </w:pPr>
      <w:r>
        <w:t xml:space="preserve">Simple email notifications for key events: contract shared, counterparty responded, approval requested, update requested.</w:t>
      </w:r>
    </w:p>
    <w:p>
      <w:pPr>
        <w:pStyle w:val="ListParagraph"/>
        <w:numPr>
          <w:ilvl w:val="0"/>
          <w:numId w:val="2"/>
        </w:numPr>
        <w:spacing w:after="60"/>
      </w:pPr>
      <w:r>
        <w:t xml:space="preserve">Notifications contain minimal context and link to the platform. Contract content is not exposed in emails.</w:t>
      </w:r>
    </w:p>
    <w:p>
      <w:pPr>
        <w:pStyle w:val="ListParagraph"/>
        <w:numPr>
          <w:ilvl w:val="0"/>
          <w:numId w:val="2"/>
        </w:numPr>
        <w:spacing w:after="60"/>
      </w:pPr>
      <w:r>
        <w:t xml:space="preserve">No automated reminders or nudges in v1.</w:t>
      </w:r>
    </w:p>
    <w:p>
      <w:pPr>
        <w:pStyle w:val="Heading2"/>
        <w:spacing w:after="120" w:before="240"/>
      </w:pPr>
      <w:r>
        <w:t xml:space="preserve">13.3 Integrations</w:t>
      </w:r>
    </w:p>
    <w:p>
      <w:pPr>
        <w:spacing w:after="120"/>
      </w:pPr>
      <w:r>
        <w:t xml:space="preserve">No external integrations in v1. The platform operates as file-in, file-out: users upload contracts in PDF, Word, or pasted text, and receive a finalised PDF as output. Cloud storage integrations, calendar integrations, and similar can be added based on user demand.</w:t>
      </w:r>
    </w:p>
    <w:p>
      <w:pPr>
        <w:pBdr>
          <w:bottom w:val="single" w:color="2B5797" w:sz="2" w:space="1"/>
        </w:pBdr>
        <w:spacing w:after="200" w:before="200"/>
      </w:pPr>
    </w:p>
    <w:p>
      <w:pPr>
        <w:pStyle w:val="Heading1"/>
        <w:spacing w:after="120" w:before="240"/>
      </w:pPr>
      <w:r>
        <w:t xml:space="preserve">14. Business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48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 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Per-contract fee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and analyse a single contract. Full AI analysis, clause-level explanations, risk flagging, and the ability to propose changes and collaborate with the counterparty.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SMB subscriber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or annual subscription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Everything in the per-contract tier plus: company account with multiple users, template creation and management, configurable variables, internal meta-context, approval workflows, and the ability to send contracts from the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Counterparty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negotiation experience when invited to review and respond to a contract. No fees for responding to shared contracts.</w:t>
            </w:r>
          </w:p>
        </w:tc>
      </w:tr>
    </w:tbl>
    <w:p>
      <w:pPr>
        <w:spacing w:after="120"/>
      </w:pPr>
    </w:p>
    <w:p>
      <w:pPr>
        <w:spacing w:after="120"/>
      </w:pPr>
      <w:r>
        <w:t xml:space="preserve">The counterparty’s free experience serves as a viral acquisition loop. Counterparties who experience the platform through someone else’s contract become potential paying users when they want to send their own contracts.</w:t>
      </w:r>
    </w:p>
    <w:p>
      <w:pPr>
        <w:pBdr>
          <w:bottom w:val="single" w:color="2B5797" w:sz="2" w:space="1"/>
        </w:pBdr>
        <w:spacing w:after="200" w:before="200"/>
      </w:pPr>
    </w:p>
    <w:p>
      <w:pPr>
        <w:pStyle w:val="Heading1"/>
        <w:spacing w:after="120" w:before="240"/>
      </w:pPr>
      <w:r>
        <w:t xml:space="preserve">15. Initial Target Contract Types</w:t>
      </w:r>
    </w:p>
    <w:p>
      <w:pPr>
        <w:spacing w:after="120"/>
      </w:pPr>
      <w:r>
        <w:t xml:space="preserve">The platform will launch supporting all contract types but will build and test deeper domain-specific templates, variable configurations, and analysis patterns for the following initial contract types:</w:t>
      </w:r>
    </w:p>
    <w:p>
      <w:pPr>
        <w:pStyle w:val="ListParagraph"/>
        <w:numPr>
          <w:ilvl w:val="0"/>
          <w:numId w:val="2"/>
        </w:numPr>
        <w:spacing w:after="60"/>
      </w:pPr>
      <w:r>
        <w:t xml:space="preserve">Employment contracts</w:t>
      </w:r>
    </w:p>
    <w:p>
      <w:pPr>
        <w:pStyle w:val="ListParagraph"/>
        <w:numPr>
          <w:ilvl w:val="0"/>
          <w:numId w:val="2"/>
        </w:numPr>
        <w:spacing w:after="60"/>
      </w:pPr>
      <w:r>
        <w:t xml:space="preserve">Builder and construction contracts</w:t>
      </w:r>
    </w:p>
    <w:p>
      <w:pPr>
        <w:pStyle w:val="ListParagraph"/>
        <w:numPr>
          <w:ilvl w:val="0"/>
          <w:numId w:val="2"/>
        </w:numPr>
        <w:spacing w:after="60"/>
      </w:pPr>
      <w:r>
        <w:t xml:space="preserve">Mortgage agreements</w:t>
      </w:r>
    </w:p>
    <w:p>
      <w:pPr>
        <w:pStyle w:val="ListParagraph"/>
        <w:numPr>
          <w:ilvl w:val="0"/>
          <w:numId w:val="2"/>
        </w:numPr>
        <w:spacing w:after="60"/>
      </w:pPr>
      <w:r>
        <w:t xml:space="preserve">Rental and lease agreements</w:t>
      </w:r>
    </w:p>
    <w:p>
      <w:pPr>
        <w:pStyle w:val="ListParagraph"/>
        <w:numPr>
          <w:ilvl w:val="0"/>
          <w:numId w:val="2"/>
        </w:numPr>
        <w:spacing w:after="60"/>
      </w:pPr>
      <w:r>
        <w:t xml:space="preserve">Commercial leases</w:t>
      </w:r>
    </w:p>
    <w:p>
      <w:pPr>
        <w:spacing w:after="120"/>
      </w:pPr>
    </w:p>
    <w:p>
      <w:pPr>
        <w:spacing w:after="120"/>
      </w:pPr>
      <w:r>
        <w:t xml:space="preserve">Domain depth for additional contract types will be prioritised based on user demand and feedback.</w:t>
      </w:r>
    </w:p>
    <w:p>
      <w:pPr>
        <w:pBdr>
          <w:bottom w:val="single" w:color="2B5797" w:sz="2" w:space="1"/>
        </w:pBdr>
        <w:spacing w:after="200" w:before="200"/>
      </w:pPr>
    </w:p>
    <w:p>
      <w:pPr>
        <w:pStyle w:val="Heading1"/>
        <w:spacing w:after="120" w:before="240"/>
      </w:pPr>
      <w:r>
        <w:t xml:space="preserve">16. V1 Scope Boundaries</w:t>
      </w:r>
    </w:p>
    <w:p>
      <w:pPr>
        <w:pStyle w:val="Heading2"/>
        <w:spacing w:after="120" w:before="240"/>
      </w:pPr>
      <w:r>
        <w:t xml:space="preserve">16.1 In Scope</w:t>
      </w:r>
    </w:p>
    <w:p>
      <w:pPr>
        <w:pStyle w:val="ListParagraph"/>
        <w:numPr>
          <w:ilvl w:val="0"/>
          <w:numId w:val="2"/>
        </w:numPr>
        <w:spacing w:after="60"/>
      </w:pPr>
      <w:r>
        <w:t xml:space="preserve">Contract upload (PDF, Word, pasted text) and AI parsing into structured clauses</w:t>
      </w:r>
    </w:p>
    <w:p>
      <w:pPr>
        <w:pStyle w:val="ListParagraph"/>
        <w:numPr>
          <w:ilvl w:val="0"/>
          <w:numId w:val="2"/>
        </w:numPr>
        <w:spacing w:after="60"/>
      </w:pPr>
      <w:r>
        <w:t xml:space="preserve">Plain-language clause explanations with jurisdictional context</w:t>
      </w:r>
    </w:p>
    <w:p>
      <w:pPr>
        <w:pStyle w:val="ListParagraph"/>
        <w:numPr>
          <w:ilvl w:val="0"/>
          <w:numId w:val="2"/>
        </w:numPr>
        <w:spacing w:after="60"/>
      </w:pPr>
      <w:r>
        <w:t xml:space="preserve">Risk and implications flagging</w:t>
      </w:r>
    </w:p>
    <w:p>
      <w:pPr>
        <w:pStyle w:val="ListParagraph"/>
        <w:numPr>
          <w:ilvl w:val="0"/>
          <w:numId w:val="2"/>
        </w:numPr>
        <w:spacing w:after="60"/>
      </w:pPr>
      <w:r>
        <w:t xml:space="preserve">Clause dependency mapping</w:t>
      </w:r>
    </w:p>
    <w:p>
      <w:pPr>
        <w:pStyle w:val="ListParagraph"/>
        <w:numPr>
          <w:ilvl w:val="0"/>
          <w:numId w:val="2"/>
        </w:numPr>
        <w:spacing w:after="60"/>
      </w:pPr>
      <w:r>
        <w:t xml:space="preserve">Intent-based editing with user confirmation</w:t>
      </w:r>
    </w:p>
    <w:p>
      <w:pPr>
        <w:pStyle w:val="ListParagraph"/>
        <w:numPr>
          <w:ilvl w:val="0"/>
          <w:numId w:val="2"/>
        </w:numPr>
        <w:spacing w:after="60"/>
      </w:pPr>
      <w:r>
        <w:t xml:space="preserve">Direct clause editing</w:t>
      </w:r>
    </w:p>
    <w:p>
      <w:pPr>
        <w:pStyle w:val="ListParagraph"/>
        <w:numPr>
          <w:ilvl w:val="0"/>
          <w:numId w:val="2"/>
        </w:numPr>
        <w:spacing w:after="60"/>
      </w:pPr>
      <w:r>
        <w:t xml:space="preserve">Configurable variables (simple number and text types)</w:t>
      </w:r>
    </w:p>
    <w:p>
      <w:pPr>
        <w:pStyle w:val="ListParagraph"/>
        <w:numPr>
          <w:ilvl w:val="0"/>
          <w:numId w:val="2"/>
        </w:numPr>
        <w:spacing w:after="60"/>
      </w:pPr>
      <w:r>
        <w:t xml:space="preserve">Internal and external meta-context at template and contract level</w:t>
      </w:r>
    </w:p>
    <w:p>
      <w:pPr>
        <w:pStyle w:val="ListParagraph"/>
        <w:numPr>
          <w:ilvl w:val="0"/>
          <w:numId w:val="2"/>
        </w:numPr>
        <w:spacing w:after="60"/>
      </w:pPr>
      <w:r>
        <w:t xml:space="preserve">Clause-level threaded conversations with resolve/acknowledge functionality</w:t>
      </w:r>
    </w:p>
    <w:p>
      <w:pPr>
        <w:pStyle w:val="ListParagraph"/>
        <w:numPr>
          <w:ilvl w:val="0"/>
          <w:numId w:val="2"/>
        </w:numPr>
        <w:spacing w:after="60"/>
      </w:pPr>
      <w:r>
        <w:t xml:space="preserve">Counterparty sharing via link with email OTP authentication</w:t>
      </w:r>
    </w:p>
    <w:p>
      <w:pPr>
        <w:pStyle w:val="ListParagraph"/>
        <w:numPr>
          <w:ilvl w:val="0"/>
          <w:numId w:val="2"/>
        </w:numPr>
        <w:spacing w:after="60"/>
      </w:pPr>
      <w:r>
        <w:t xml:space="preserve">Full counterparty negotiation experience</w:t>
      </w:r>
    </w:p>
    <w:p>
      <w:pPr>
        <w:pStyle w:val="ListParagraph"/>
        <w:numPr>
          <w:ilvl w:val="0"/>
          <w:numId w:val="2"/>
        </w:numPr>
        <w:spacing w:after="60"/>
      </w:pPr>
      <w:r>
        <w:t xml:space="preserve">Round-by-round and baseline comparison views</w:t>
      </w:r>
    </w:p>
    <w:p>
      <w:pPr>
        <w:pStyle w:val="ListParagraph"/>
        <w:numPr>
          <w:ilvl w:val="0"/>
          <w:numId w:val="2"/>
        </w:numPr>
        <w:spacing w:after="60"/>
      </w:pPr>
      <w:r>
        <w:t xml:space="preserve">Automatic cross-reference management</w:t>
      </w:r>
    </w:p>
    <w:p>
      <w:pPr>
        <w:pStyle w:val="ListParagraph"/>
        <w:numPr>
          <w:ilvl w:val="0"/>
          <w:numId w:val="2"/>
        </w:numPr>
        <w:spacing w:after="60"/>
      </w:pPr>
      <w:r>
        <w:t xml:space="preserve">Template creation from uploaded contracts</w:t>
      </w:r>
    </w:p>
    <w:p>
      <w:pPr>
        <w:pStyle w:val="ListParagraph"/>
        <w:numPr>
          <w:ilvl w:val="0"/>
          <w:numId w:val="2"/>
        </w:numPr>
        <w:spacing w:after="60"/>
      </w:pPr>
      <w:r>
        <w:t xml:space="preserve">Configurable approval workflows for publishing</w:t>
      </w:r>
    </w:p>
    <w:p>
      <w:pPr>
        <w:pStyle w:val="ListParagraph"/>
        <w:numPr>
          <w:ilvl w:val="0"/>
          <w:numId w:val="2"/>
        </w:numPr>
        <w:spacing w:after="60"/>
      </w:pPr>
      <w:r>
        <w:t xml:space="preserve">Related contracts (addenda and change orders linked to parent)</w:t>
      </w:r>
    </w:p>
    <w:p>
      <w:pPr>
        <w:pStyle w:val="ListParagraph"/>
        <w:numPr>
          <w:ilvl w:val="0"/>
          <w:numId w:val="2"/>
        </w:numPr>
        <w:spacing w:after="60"/>
      </w:pPr>
      <w:r>
        <w:t xml:space="preserve">Send to my lawyer function</w:t>
      </w:r>
    </w:p>
    <w:p>
      <w:pPr>
        <w:pStyle w:val="ListParagraph"/>
        <w:numPr>
          <w:ilvl w:val="0"/>
          <w:numId w:val="2"/>
        </w:numPr>
        <w:spacing w:after="60"/>
      </w:pPr>
      <w:r>
        <w:t xml:space="preserve">Request for update (manual)</w:t>
      </w:r>
    </w:p>
    <w:p>
      <w:pPr>
        <w:pStyle w:val="ListParagraph"/>
        <w:numPr>
          <w:ilvl w:val="0"/>
          <w:numId w:val="2"/>
        </w:numPr>
        <w:spacing w:after="60"/>
      </w:pPr>
      <w:r>
        <w:t xml:space="preserve">Clean PDF generation of finalised contracts</w:t>
      </w:r>
    </w:p>
    <w:p>
      <w:pPr>
        <w:pStyle w:val="ListParagraph"/>
        <w:numPr>
          <w:ilvl w:val="0"/>
          <w:numId w:val="2"/>
        </w:numPr>
        <w:spacing w:after="60"/>
      </w:pPr>
      <w:r>
        <w:t xml:space="preserve">Complete audit trail</w:t>
      </w:r>
    </w:p>
    <w:p>
      <w:pPr>
        <w:pStyle w:val="ListParagraph"/>
        <w:numPr>
          <w:ilvl w:val="0"/>
          <w:numId w:val="2"/>
        </w:numPr>
        <w:spacing w:after="60"/>
      </w:pPr>
      <w:r>
        <w:t xml:space="preserve">Data export and deletion</w:t>
      </w:r>
    </w:p>
    <w:p>
      <w:pPr>
        <w:pStyle w:val="ListParagraph"/>
        <w:numPr>
          <w:ilvl w:val="0"/>
          <w:numId w:val="2"/>
        </w:numPr>
        <w:spacing w:after="60"/>
      </w:pPr>
      <w:r>
        <w:t xml:space="preserve">Text search within contracts</w:t>
      </w:r>
    </w:p>
    <w:p>
      <w:pPr>
        <w:pStyle w:val="ListParagraph"/>
        <w:numPr>
          <w:ilvl w:val="0"/>
          <w:numId w:val="2"/>
        </w:numPr>
        <w:spacing w:after="60"/>
      </w:pPr>
      <w:r>
        <w:t xml:space="preserve">Desktop and mobile responsive web</w:t>
      </w:r>
    </w:p>
    <w:p>
      <w:pPr>
        <w:pStyle w:val="ListParagraph"/>
        <w:numPr>
          <w:ilvl w:val="0"/>
          <w:numId w:val="2"/>
        </w:numPr>
        <w:spacing w:after="60"/>
      </w:pPr>
      <w:r>
        <w:t xml:space="preserve">Simple email notifications</w:t>
      </w:r>
    </w:p>
    <w:p>
      <w:pPr>
        <w:pStyle w:val="Heading2"/>
        <w:spacing w:after="120" w:before="240"/>
      </w:pPr>
      <w:r>
        <w:t xml:space="preserve">16.2 Deferred / Roadmapped</w:t>
      </w:r>
    </w:p>
    <w:p>
      <w:pPr>
        <w:pStyle w:val="ListParagraph"/>
        <w:numPr>
          <w:ilvl w:val="0"/>
          <w:numId w:val="2"/>
        </w:numPr>
        <w:spacing w:after="60"/>
      </w:pPr>
      <w:r>
        <w:t xml:space="preserve">E-signature integration</w:t>
      </w:r>
    </w:p>
    <w:p>
      <w:pPr>
        <w:pStyle w:val="ListParagraph"/>
        <w:numPr>
          <w:ilvl w:val="0"/>
          <w:numId w:val="2"/>
        </w:numPr>
        <w:spacing w:after="60"/>
      </w:pPr>
      <w:r>
        <w:t xml:space="preserve">Policy-based variable constraints (min/max values, approval triggers)</w:t>
      </w:r>
    </w:p>
    <w:p>
      <w:pPr>
        <w:pStyle w:val="ListParagraph"/>
        <w:numPr>
          <w:ilvl w:val="0"/>
          <w:numId w:val="2"/>
        </w:numPr>
        <w:spacing w:after="60"/>
      </w:pPr>
      <w:r>
        <w:t xml:space="preserve">Semantic search</w:t>
      </w:r>
    </w:p>
    <w:p>
      <w:pPr>
        <w:pStyle w:val="ListParagraph"/>
        <w:numPr>
          <w:ilvl w:val="0"/>
          <w:numId w:val="2"/>
        </w:numPr>
        <w:spacing w:after="60"/>
      </w:pPr>
      <w:r>
        <w:t xml:space="preserve">Portfolio-level search and comparison across contracts</w:t>
      </w:r>
    </w:p>
    <w:p>
      <w:pPr>
        <w:pStyle w:val="ListParagraph"/>
        <w:numPr>
          <w:ilvl w:val="0"/>
          <w:numId w:val="2"/>
        </w:numPr>
        <w:spacing w:after="60"/>
      </w:pPr>
      <w:r>
        <w:t xml:space="preserve">Cloud storage integrations (Google Drive, Dropbox, OneDrive)</w:t>
      </w:r>
    </w:p>
    <w:p>
      <w:pPr>
        <w:pStyle w:val="ListParagraph"/>
        <w:numPr>
          <w:ilvl w:val="0"/>
          <w:numId w:val="2"/>
        </w:numPr>
        <w:spacing w:after="60"/>
      </w:pPr>
      <w:r>
        <w:t xml:space="preserve">URL scraping for website terms and conditions</w:t>
      </w:r>
    </w:p>
    <w:p>
      <w:pPr>
        <w:pStyle w:val="ListParagraph"/>
        <w:numPr>
          <w:ilvl w:val="0"/>
          <w:numId w:val="2"/>
        </w:numPr>
        <w:spacing w:after="60"/>
      </w:pPr>
      <w:r>
        <w:t xml:space="preserve">Automated reminders and nudges</w:t>
      </w:r>
    </w:p>
    <w:p>
      <w:pPr>
        <w:pStyle w:val="ListParagraph"/>
        <w:numPr>
          <w:ilvl w:val="0"/>
          <w:numId w:val="2"/>
        </w:numPr>
        <w:spacing w:after="60"/>
      </w:pPr>
      <w:r>
        <w:t xml:space="preserve">Native mobile applications</w:t>
      </w:r>
    </w:p>
    <w:p>
      <w:pPr>
        <w:pStyle w:val="ListParagraph"/>
        <w:numPr>
          <w:ilvl w:val="0"/>
          <w:numId w:val="2"/>
        </w:numPr>
        <w:spacing w:after="60"/>
      </w:pPr>
      <w:r>
        <w:t xml:space="preserve">Formal security certifications (SOC 2)</w:t>
      </w:r>
    </w:p>
    <w:p>
      <w:pPr>
        <w:pStyle w:val="ListParagraph"/>
        <w:numPr>
          <w:ilvl w:val="0"/>
          <w:numId w:val="2"/>
        </w:numPr>
        <w:spacing w:after="60"/>
      </w:pPr>
      <w:r>
        <w:t xml:space="preserve">Blank-page contract creation (contracts not based on an uploaded starting document)</w:t>
      </w:r>
    </w:p>
    <w:p>
      <w:pPr>
        <w:pStyle w:val="ListParagraph"/>
        <w:numPr>
          <w:ilvl w:val="0"/>
          <w:numId w:val="2"/>
        </w:numPr>
        <w:spacing w:after="60"/>
      </w:pPr>
      <w:r>
        <w:t xml:space="preserve">Handwritten contract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2026-03-28T08:52:09.768Z</dcterms:created>
  <dcterms:modified xsi:type="dcterms:W3CDTF">2026-03-28T08:52:09.768Z</dcterms:modified>
</cp:coreProperties>
</file>

<file path=docProps/custom.xml><?xml version="1.0" encoding="utf-8"?>
<Properties xmlns="http://schemas.openxmlformats.org/officeDocument/2006/custom-properties" xmlns:vt="http://schemas.openxmlformats.org/officeDocument/2006/docPropsVTypes"/>
</file>