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Расчётное приложение содержит исходные данные, оценку сетевой нагрузки, кабельные трассы, смету проекта уровней L1–L2. Модель Cisco Packet Tracer представляет размещение и соединения оборудования.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Программное обеспечение описывает прикладные требования к будущей сети. В модели ДЗ1 настройки служб не выполняются.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магистральные связи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Для закупки выбраны MikroTik RB5009UG+S+IN, CRS328-24P-4S+RM и cAP ax. Коммутация выполняется аппаратно; наличие гигабитного порта само по себе не подтверждает производительность маршрутизации. Этот параметр и совместимость оптических модулей должны проверяться для окончательной комплектации.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— левый верхний угол плана, размеры в метрах. Стойка (3;12), лоток по оси y = 8. Для верхних рабочих мест трасса идёт от стойки к лотку, затем вдоль боковой стены кабинета и верхней стены до розетки; для нижних рабочих мест — к розетке на стене y = 6. МФУ подключаются через розетки на стене коридора y = 10; AP установлены у потолочного лотка. Длина постоянной линии равна сумме ортогональных участков на плане плюс 5 м спусков и сервисных петель для ПК/МФУ, либо 2 м для потолочных AP. Три сервера подключаются в стойке патч-кордами. Патч-корды до ПК длиной 2 м. Индивидуальные длины приведены ниже и в cable-routes.csv.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783.8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783.8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668.6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668.6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</w:tbl>
    <w:p>
      <w:r>
        <w:t>Общая длина Cat6: 2904.8 м. Закупка с запасом 20%: 3485.8 м; 12 бухт × 305 м = 3660 м. Максимальная постоянная линия — 48.8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15.2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18.8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15.2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18.8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Для RB5009, CRS328 и cAP ax использованы опубликованные каталоговые цены. Для остальных позиций сохранена предварительная оценка в рублях за единицу оборудования. Расчёт предназначен для предварительной оценки капитальных затрат. Итог включает оборудование и кабельные материалы; монтаж, услуги оператора, лицензии и отдельное резервное хранилище в расчёт не входят.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MikroTik RB5009UG+S+IN: 7 × 1GbE, 1 × 2.5GbE, 1 × SFP+; PT: 2911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18366</w:t>
            </w:r>
          </w:p>
        </w:tc>
        <w:tc>
          <w:tcPr>
            <w:tcW w:type="dxa" w:w="1938"/>
          </w:tcPr>
          <w:p>
            <w:r>
              <w:t>91830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MikroTik CRS328-24P-4S+RM: 24 × 1GbE PoE, 4 × SFP+;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41010</w:t>
            </w:r>
          </w:p>
        </w:tc>
        <w:tc>
          <w:tcPr>
            <w:tcW w:type="dxa" w:w="1938"/>
          </w:tcPr>
          <w:p>
            <w:r>
              <w:t>246060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MikroTik cAP ax: Wi-Fi 6, 2 × 1GbE;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10819</w:t>
            </w:r>
          </w:p>
        </w:tc>
        <w:tc>
          <w:tcPr>
            <w:tcW w:type="dxa" w:w="1938"/>
          </w:tcPr>
          <w:p>
            <w:r>
              <w:t>43276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96 постоянных линий × 2 + 3 серверных + 7 межсетевых</w:t>
            </w:r>
          </w:p>
        </w:tc>
        <w:tc>
          <w:tcPr>
            <w:tcW w:type="dxa" w:w="1938"/>
          </w:tcPr>
          <w:p>
            <w:r>
              <w:t>202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121200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7 907 116 ₽. Стоимость ежемесячных услуг связи и программных лицензий учитывается отдельно от капитальных затрат.</w:t>
      </w:r>
    </w:p>
    <w:p>
      <w:pPr>
        <w:pStyle w:val="Heading1"/>
      </w:pPr>
      <w:r>
        <w:t>7. Концепция и состав модели L1–L2</w:t>
      </w:r>
    </w:p>
    <w:p>
      <w:r>
        <w:t>Изюминка проекта — единый диагностический архив: исследования из филиалов поступают в центральный корпус, а врачи получают доступ к общей медицинской истории. Это сокращает дублирование обследований и обосновывает отдельный расчёт передачи DICOM. Серверная сосредоточена в центральном корпусе; каждый этаж имеет собственную точку коммутации.</w:t>
      </w:r>
    </w:p>
    <w:p>
      <w:r>
        <w:t>Модель clinic8-L1-L2.pkt содержит оборудование и кабельные соединения без настроек адресации, маршрутизации и сетевых служб. Медицинские рабочие места и гостевой доступ показаны как разные функциональные группы; их дальнейшее разграничение относится к следующему этапу проектирования.</w:t>
      </w:r>
    </w:p>
    <w:p>
      <w:pPr>
        <w:pStyle w:val="Heading1"/>
      </w:pPr>
      <w:r>
        <w:t>8. Проверка проекта</w:t>
      </w:r>
    </w:p>
    <w:p>
      <w:r>
        <w:t>Согласованы 84 рабочих станции, 8 МФУ, 4 точки доступа и 3 сервера поликлиники: 99 проводных подключений, в том числе 96 постоянных линий и 3 подключения серверов внутри стойки. В Cisco дополнительно показано оборудование оператора и четыре беспроводных планшета. Проверка L1–L2 включает состав устройств, соответствие соединений, достаточность портов, длины кабелей и расчётную пропускную способность.</w:t>
      </w:r>
    </w:p>
    <w:p>
      <w:r>
        <w:t>Цветная модель открыта в Cisco Packet Tracer 8.2.2. Подключённые физические порты маршрутизаторов включены; на общем снимке проводные соединения имеют зелёные индикаторы. Адресация и маршрутизация не настраиваются. Оценка нагрузки выполнена расчётным способом.</w:t>
      </w:r>
    </w:p>
    <w:p>
      <w:pPr>
        <w:pStyle w:val="Heading1"/>
      </w:pPr>
      <w:r>
        <w:t>9. Справочные материалы</w:t>
      </w:r>
    </w:p>
    <w:p>
      <w:r>
        <w:t>IEEE 802.3: параметры 1000BASE-T и 1000BASE-SX. Каталог технических характеристик MikroTik: RB5009UG+S+IN, CRS328-24P-4S+RM, cAP ax. Цены сетевого оборудования — каталоговые; прочие позиции требуют уточнения по коммерческому предложению. Монтажные размеры и профиль нагрузки приняты для учебного предприятия.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