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Проектные расчёты подготовлены. Сохранённая модель Cisco Packet Tracer 8.2.2 получена от пользователя; результаты выполненных им проверок приведены в разделе 8. Цены являются бюджетными допущениями, а не подтверждёнными предложениями рынка.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В Packet Tracer используются только упрощённые DNS, HTTP и EMAIL. PostgreSQL, PACS, EDR и полноценная защита медицинских данных этим симулятором не проверяются.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маршрутизация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оператора, Интернет, NAT).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Перед закупкой C1111-8P необходимо подтвердить скорость маршрутизации, наличие нужных SFP/медных интерфейсов и лицензий в выбранной комплектации; производительность с VPN не считается проверенной.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каждого плана — левый верхний угол, размеры в метрах. Стойка (3;12), кабельный лоток по оси y = 8. Для каждого рабочего устройства длина L = |x−3| + |y−8| + 4 + 5; 4 м — ввод от стойки к коридору; 5 м — суммарные вертикальные спуски и сервисные петли. Для серверов внутри стойки L = |x−3| + |y−12| + 5. Все исходные координаты и индивидуальные длины приведены ниже и в cable-routes.csv. Длина не является прямой диагональю между устройствами.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797.2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775.2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</w:tbl>
    <w:p>
      <w:r>
        <w:t>Общая длина Cat6: 2868.4 м. Закупка с запасом 20%: 3442.1 м; 12 бухт × 305 м = 3660 м. Максимальная постоянная линия — 46.8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  <w:tr>
        <w:tc>
          <w:tcPr>
            <w:tcW w:type="dxa" w:w="2422"/>
          </w:tcPr>
          <w:p>
            <w:r>
              <w:t>SRV-MIS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1;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  <w:tr>
        <w:tc>
          <w:tcPr>
            <w:tcW w:type="dxa" w:w="2422"/>
          </w:tcPr>
          <w:p>
            <w:r>
              <w:t>SRV-MAIL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3; 13</w:t>
            </w:r>
          </w:p>
        </w:tc>
        <w:tc>
          <w:tcPr>
            <w:tcW w:type="dxa" w:w="2422"/>
          </w:tcPr>
          <w:p>
            <w:r>
              <w:t>6</w:t>
            </w:r>
          </w:p>
        </w:tc>
      </w:tr>
      <w:tr>
        <w:tc>
          <w:tcPr>
            <w:tcW w:type="dxa" w:w="2422"/>
          </w:tcPr>
          <w:p>
            <w:r>
              <w:t>SRV-FILE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5;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Цены — оценочные бюджетные значения в рублях за единицу, без утверждения о наличии, НДС и коммерческих предложениях. Анализ актуального рынка пока не выполнен; это незакрытое требование методички. Указанные модели служат техническими ориентирами. Итог не включает монтаж, сервисы оператора, лицензии МИС/ОС/антивируса, гарантийные услуги и отдельное хранилище резервных копий.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Cisco C1111-8P; PT: 2911; производительность проверить с лицензией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180000</w:t>
            </w:r>
          </w:p>
        </w:tc>
        <w:tc>
          <w:tcPr>
            <w:tcW w:type="dxa" w:w="1938"/>
          </w:tcPr>
          <w:p>
            <w:r>
              <w:t>900000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Cisco CBS350-24P-4G, 24 × 1GbE PoE+, 4 × SFP 1G;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95000</w:t>
            </w:r>
          </w:p>
        </w:tc>
        <w:tc>
          <w:tcPr>
            <w:tcW w:type="dxa" w:w="1938"/>
          </w:tcPr>
          <w:p>
            <w:r>
              <w:t>570000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TP-Link EAP610, Wi-Fi 6, 1GbE, PoE;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16000</w:t>
            </w:r>
          </w:p>
        </w:tc>
        <w:tc>
          <w:tcPr>
            <w:tcW w:type="dxa" w:w="1938"/>
          </w:tcPr>
          <w:p>
            <w:r>
              <w:t>64000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Два на каждую из 99 линий + 7 межсетевых</w:t>
            </w:r>
          </w:p>
        </w:tc>
        <w:tc>
          <w:tcPr>
            <w:tcW w:type="dxa" w:w="1938"/>
          </w:tcPr>
          <w:p>
            <w:r>
              <w:t>205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123000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9,061,750 ₽. Ежемесячные услуги каналов и лицензии должны быть добавлены после получения коммерческих предложений. Выбор моделей нужно окончательно сопоставить с минимум двумя актуальными предложениями каждого класса; сейчас источники цен отсутствуют.</w:t>
      </w:r>
    </w:p>
    <w:p>
      <w:pPr>
        <w:pStyle w:val="Heading1"/>
      </w:pPr>
      <w:r>
        <w:t>7. Логическая адресация и защита</w:t>
      </w:r>
    </w:p>
    <w:p>
      <w:r>
        <w:t>Этажи C1/C2/B1/B2: номера площадок 1/2/11/12. Подсеть VLAN v: 10.s.v.0/24, шлюз .1. VLAN 10 — медицинские рабочие места и МФУ; VLAN 20 — регистратура и администрация в центре; VLAN 30 — серверы только C1; VLAN 90 — гости; VLAN 99 — управление. Гостевые VLAN запрещают доступ к 10.0.0.0/8, разрешают внешний DNS/Интернет. Гостевая точка в учебной модели полностью подключена к VLAN 90, управление через гостевой сегмент не моделируется. В промышленном проекте её управление должно быть отдельно в VLAN 99.</w:t>
      </w:r>
    </w:p>
    <w:p>
      <w:r>
        <w:t>SRV-MIS 10.1.30.10 (HTTP); SRV-MAIL 10.1.30.11 (DNS, EMAIL); SRV-FILE 10.1.30.12 (HTTP как имитация файлового сервиса). Между этажами 10.255.0.0/30; C1–EDGE 10.255.0.4/30; WAN филиалов 10.255.1.0/30 и 10.255.2.0/30. Интернет EDGE–ISP 198.51.100.0/30, внешний сервер 203.0.113.10/24. Документационные диапазоны не обозначают реальных публичных адресов. Статическая маршрутизация; NAT на EDGE.</w:t>
      </w:r>
    </w:p>
    <w:p>
      <w:r>
        <w:t>Реальная медицинская сеть требует разграничения доступа по ролям, шифрования операторских каналов, журналирования, отказоустойчивости и отдельного резервного хранения. В данной предварительной работе не заявляется соответствие требованиям защиты персональных данных; необходимо отдельное обследование и проект защиты. Учебная модель не включает промышленный VPN; её проверки относятся к имитируемым IP-службам, а не к защите реальной медицинской информационной системы.</w:t>
      </w:r>
    </w:p>
    <w:p>
      <w:pPr>
        <w:pStyle w:val="Heading1"/>
      </w:pPr>
      <w:r>
        <w:t>8. Проверка и ограничения</w:t>
      </w:r>
    </w:p>
    <w:p>
      <w:r>
        <w:t>Согласованы число устройств, портовые назначения, длины трасс, расчёты нагрузки и суммы сметы. Пользователь собрал и сохранил модель packet-tracer/clinic8.pkt в Cisco Packet Tracer 8.2.2.0400. Файл содержит 84 ПК, 8 принтеров, 4 AP, 4 сервера (один внешний), 6 маршрутизаторов, 7 коммутаторов, 4 гостевых планшета и 3 автоматически созданных устройства питания; 112 кабелей. Проверки выполнены пользователем, результаты записаны в packet-tracer/validation-results.csv. В облаке моделирование независимо не повторялось. Для оформления необходим настоящий скриншот модели; для сметы — актуальный анализ рынка. В обновлённом сохранённом файле на Wireless0 всех четырёх гостевых планшетов включён DHCP.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Проверка</w:t>
            </w:r>
          </w:p>
        </w:tc>
        <w:tc>
          <w:tcPr>
            <w:tcW w:type="dxa" w:w="4844"/>
          </w:tcPr>
          <w:p>
            <w:r>
              <w:t>Подтверждённый результат</w:t>
            </w:r>
          </w:p>
        </w:tc>
      </w:tr>
      <w:tr>
        <w:tc>
          <w:tcPr>
            <w:tcW w:type="dxa" w:w="4844"/>
          </w:tcPr>
          <w:p>
            <w:r>
              <w:t>DHCP рабочих ПК</w:t>
            </w:r>
          </w:p>
        </w:tc>
        <w:tc>
          <w:tcPr>
            <w:tcW w:type="dxa" w:w="4844"/>
          </w:tcPr>
          <w:p>
            <w:r>
              <w:t>C1: 10.1.20.52/24, шлюз 10.1.20.1; B1: 10.11.10.58/24, шлюз 10.11.10.1; C2: адрес сети 10.2.10.0/24</w:t>
            </w:r>
          </w:p>
        </w:tc>
      </w:tr>
      <w:tr>
        <w:tc>
          <w:tcPr>
            <w:tcW w:type="dxa" w:w="4844"/>
          </w:tcPr>
          <w:p>
            <w:r>
              <w:t>ICMP между площадками</w:t>
            </w:r>
          </w:p>
        </w:tc>
        <w:tc>
          <w:tcPr>
            <w:tcW w:type="dxa" w:w="4844"/>
          </w:tcPr>
          <w:p>
            <w:r>
              <w:t>C2/B1/B2 достигают сервера МИС и внешнего сервера; B2 достигает ПК B1. Для B1 повторные ping: 4/4 ответа</w:t>
            </w:r>
          </w:p>
        </w:tc>
      </w:tr>
      <w:tr>
        <w:tc>
          <w:tcPr>
            <w:tcW w:type="dxa" w:w="4844"/>
          </w:tcPr>
          <w:p>
            <w:r>
              <w:t>DNS и HTTP</w:t>
            </w:r>
          </w:p>
        </w:tc>
        <w:tc>
          <w:tcPr>
            <w:tcW w:type="dxa" w:w="4844"/>
          </w:tcPr>
          <w:p>
            <w:r>
              <w:t>С B1 открыты mis.clinic8.test, files.clinic8.test и www.example.test</w:t>
            </w:r>
          </w:p>
        </w:tc>
      </w:tr>
      <w:tr>
        <w:tc>
          <w:tcPr>
            <w:tcW w:type="dxa" w:w="4844"/>
          </w:tcPr>
          <w:p>
            <w:r>
              <w:t>EMAIL</w:t>
            </w:r>
          </w:p>
        </w:tc>
        <w:tc>
          <w:tcPr>
            <w:tcW w:type="dxa" w:w="4844"/>
          </w:tcPr>
          <w:p>
            <w:r>
              <w:t>Пользователь подтвердил доставку B1 → C1 и C2 → B2</w:t>
            </w:r>
          </w:p>
        </w:tc>
      </w:tr>
      <w:tr>
        <w:tc>
          <w:tcPr>
            <w:tcW w:type="dxa" w:w="4844"/>
          </w:tcPr>
          <w:p>
            <w:r>
              <w:t>Гостевая изоляция</w:t>
            </w:r>
          </w:p>
        </w:tc>
        <w:tc>
          <w:tcPr>
            <w:tcW w:type="dxa" w:w="4844"/>
          </w:tcPr>
          <w:p>
            <w:r>
              <w:t>На C1/C2/B1/B2 внешний HTTP доступен; ICMP и HTTP к серверу 10.1.30.10 заблокированы</w:t>
            </w:r>
          </w:p>
        </w:tc>
      </w:tr>
      <w:tr>
        <w:tc>
          <w:tcPr>
            <w:tcW w:type="dxa" w:w="4844"/>
          </w:tcPr>
          <w:p>
            <w:r>
              <w:t>Повторное открытие</w:t>
            </w:r>
          </w:p>
        </w:tc>
        <w:tc>
          <w:tcPr>
            <w:tcW w:type="dxa" w:w="4844"/>
          </w:tcPr>
          <w:p>
            <w:r>
              <w:t>После начального Host Name Unresolved и ожидания пользователь подтвердил восстановление доступа</w:t>
            </w:r>
          </w:p>
        </w:tc>
      </w:tr>
      <w:tr>
        <w:tc>
          <w:tcPr>
            <w:tcW w:type="dxa" w:w="4844"/>
          </w:tcPr>
          <w:p>
            <w:r>
              <w:t>Границы проверок</w:t>
            </w:r>
          </w:p>
        </w:tc>
        <w:tc>
          <w:tcPr>
            <w:tcW w:type="dxa" w:w="4844"/>
          </w:tcPr>
          <w:p>
            <w:r>
              <w:t>Печать реальных документов, производительность приложений и промышленная безопасность не моделировались; подробные проверки всех VLAN и счётчиков NAT требуют отдельного подтверждения</w:t>
            </w:r>
          </w:p>
        </w:tc>
      </w:tr>
    </w:tbl>
    <w:p>
      <w:pPr>
        <w:pStyle w:val="Heading1"/>
      </w:pPr>
      <w:r>
        <w:t>9. Источники и материалы для уточнения</w:t>
      </w:r>
    </w:p>
    <w:p>
      <w:r>
        <w:t>1. IEEE 802.3 — стандарты Ethernet (параметры 1000BASE-T/1000BASE-SX).</w:t>
        <w:br/>
        <w:t>2. Cisco Business 350 Series Managed Switches Data Sheet: https://www.cisco.com/c/en/us/products/collateral/switches/business-350-series-managed-switches/nb-06-bus350-series-ds-cte-en.html</w:t>
        <w:br/>
        <w:t>3. Cisco 1000 Series Integrated Services Routers Data Sheet: https://www.cisco.com/c/en/us/products/collateral/routers/1000-series-integrated-services-routers-isr/datasheet-c78-739512.html</w:t>
        <w:br/>
        <w:t>4. TP-Link EAP610: https://www.tp-link.com/en/business-networking/omada-wifi-ceiling-mount/eap610/</w:t>
        <w:br/>
        <w:t>Ссылки на паспорта приведены для последующей сверки комплектаций; цены из них не получены.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