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.r.a.i.l.s.-platform"/>
    <w:p>
      <w:pPr>
        <w:pStyle w:val="Heading1"/>
      </w:pPr>
      <w:r>
        <w:t xml:space="preserve">C.R.A.I.L.S. PLATFORM</w:t>
      </w:r>
    </w:p>
    <w:p>
      <w:pPr>
        <w:pStyle w:val="FirstParagraph"/>
      </w:pPr>
      <w:r>
        <w:rPr>
          <w:iCs/>
          <w:i/>
        </w:rPr>
        <w:t xml:space="preserve">Chaos · Reliability · Automation · Innovation · Learning · Stress-Testing</w:t>
      </w:r>
    </w:p>
    <w:bookmarkStart w:id="20" w:name="slo-sli-definitions"/>
    <w:p>
      <w:pPr>
        <w:pStyle w:val="Heading2"/>
      </w:pPr>
      <w:r>
        <w:t xml:space="preserve">SLO / SLI DEFINITIONS</w:t>
      </w:r>
    </w:p>
    <w:p>
      <w:pPr>
        <w:pStyle w:val="FirstParagraph"/>
      </w:pPr>
      <w:r>
        <w:rPr>
          <w:iCs/>
          <w:i/>
        </w:rPr>
        <w:t xml:space="preserve">Password Manager Service — Both Environments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SLO/SLI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Manager Backend (FastAPI)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+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Biswadip Majumdar — Lead 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linkedin.com/in/biswadipmajumdar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github.com/warrator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2026</w:t>
            </w:r>
          </w:p>
        </w:tc>
      </w:tr>
    </w:tbl>
    <w:bookmarkEnd w:id="20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 Service Level Indicators (SLIs), Service Level Objectives (SLOs), and Error Budgets for the Password Manager Backend service running on the C.R.A.I.L.S. Platform’s 3-node cluster (</w:t>
      </w:r>
      <w:r>
        <w:rPr>
          <w:rStyle w:val="VerbatimChar"/>
        </w:rPr>
        <w:t xml:space="preserve">crails-k3s-master-node01</w:t>
      </w:r>
      <w:r>
        <w:t xml:space="preserve">, </w:t>
      </w:r>
      <w:r>
        <w:rPr>
          <w:rStyle w:val="VerbatimChar"/>
        </w:rPr>
        <w:t xml:space="preserve">crails-k3s-worker-node02</w:t>
      </w:r>
      <w:r>
        <w:t xml:space="preserve">, </w:t>
      </w:r>
      <w:r>
        <w:rPr>
          <w:rStyle w:val="VerbatimChar"/>
        </w:rPr>
        <w:t xml:space="preserve">crails-hybrid-worker-node03</w:t>
      </w:r>
      <w:r>
        <w:t xml:space="preserve">). These definitions follow Google SRE principles and are designed to be measurable via the Prometheus + Grafana observability stack, which is being redeployed on the new cluster.</w:t>
      </w:r>
    </w:p>
    <w:p>
      <w:pPr>
        <w:pStyle w:val="BlockText"/>
      </w:pPr>
      <w:r>
        <w:rPr>
          <w:bCs/>
          <w:b/>
        </w:rPr>
        <w:t xml:space="preserve">Phase 2 Note:</w:t>
      </w:r>
      <w:r>
        <w:t xml:space="preserve"> Production PostgreSQL now replicates two-way (logical replication via pglogical) to a StatefulSet replica on crails-k3s-worker-node02, giving it node-level redundancy for the first time in Phase 2. Redis and the staging PostgreSQL StatefulSet still share the single 4 GB RAM hybrid node with chaos tooling. SLO targets in Section 3 remain conservative given the hybrid node's resource constraints and the fact that failover to the replica is still a manual procedure.</w:t>
      </w:r>
    </w:p>
    <w:bookmarkStart w:id="21" w:name="service-description"/>
    <w:p>
      <w:pPr>
        <w:pStyle w:val="Heading3"/>
      </w:pPr>
      <w:r>
        <w:t xml:space="preserve">1.1 Service Description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Manager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/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https://app-staging.crails.local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https://app-production.crails.local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(standalone primary, crails-hybrid-worker-node03, port 5432; StatefulSet replica, crails-k3s-worker-node02, port 5432, via pglogical), Redis (standalone/in-cluster, crails-hybrid-worker-node03)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(via MetalLB VIP)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scrape + Grafana dashboards (redeploying on new cluster)</w:t>
            </w:r>
          </w:p>
        </w:tc>
      </w:tr>
    </w:tbl>
    <w:bookmarkEnd w:id="21"/>
    <w:bookmarkEnd w:id="22"/>
    <w:bookmarkStart w:id="27" w:name="sli-definitions"/>
    <w:p>
      <w:pPr>
        <w:pStyle w:val="Heading2"/>
      </w:pPr>
      <w:r>
        <w:t xml:space="preserve">2. SLI Definitions</w:t>
      </w:r>
    </w:p>
    <w:bookmarkStart w:id="23" w:name="availability-sli"/>
    <w:p>
      <w:pPr>
        <w:pStyle w:val="Heading3"/>
      </w:pPr>
      <w:r>
        <w:t xml:space="preserve">2.1 Availability SLI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requests returning 2xx or 3xx / Total HTTP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HTTP response with status code &lt;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HTTP response with status code &gt;= 500 (server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endpoint (/health) excluded from SLI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sum(rate(traefik_requests_total{code!~‘5..’}[5m])) / sum(rate(traefik_requests_total[5m]))</w:t>
            </w:r>
          </w:p>
        </w:tc>
      </w:tr>
    </w:tbl>
    <w:bookmarkEnd w:id="23"/>
    <w:bookmarkStart w:id="24" w:name="latency-sli"/>
    <w:p>
      <w:pPr>
        <w:pStyle w:val="Heading3"/>
      </w:pPr>
      <w:r>
        <w:t xml:space="preserve">2.2 Latency SLI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of requests completing in &lt; 500ms (p99 threshold)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 at p99 for all API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/login, /passwords (GET)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histogram_quantile(0.99, rate(traefik_request_duration_seconds_bucket[5m]))</w:t>
            </w:r>
          </w:p>
        </w:tc>
      </w:tr>
    </w:tbl>
    <w:bookmarkEnd w:id="24"/>
    <w:bookmarkStart w:id="25" w:name="error-rate-sli"/>
    <w:p>
      <w:pPr>
        <w:pStyle w:val="Heading3"/>
      </w:pPr>
      <w:r>
        <w:t xml:space="preserve">2.3 Error Rate SLI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5xx responses / Total requests over rolling 1-hour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rate &lt; 1% over any 1-hour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sum(rate(traefik_requests_total{code=~‘5..’}[1h])) / sum(rate(traefik_requests_total[1h]))</w:t>
            </w:r>
          </w:p>
        </w:tc>
      </w:tr>
    </w:tbl>
    <w:bookmarkEnd w:id="25"/>
    <w:bookmarkStart w:id="26" w:name="dependency-health-sli"/>
    <w:p>
      <w:pPr>
        <w:pStyle w:val="Heading3"/>
      </w:pPr>
      <w:r>
        <w:t xml:space="preserve">2.4 Dependency Health SLI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(standalone primary, crails-hybrid-worker-node03)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/ready endpoint returns 200 (checks DB conn); a StatefulSet replica exists on crails-k3s-worker-node02, but failover to it is a manual procedure (Runbook 1, Section 1.3a), not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(crails-hybrid-worker-node03)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/ready endpoint checks Redis PING</w:t>
            </w:r>
          </w:p>
        </w:tc>
      </w:tr>
    </w:tbl>
    <w:bookmarkEnd w:id="26"/>
    <w:bookmarkEnd w:id="27"/>
    <w:bookmarkStart w:id="30" w:name="slo-targets"/>
    <w:p>
      <w:pPr>
        <w:pStyle w:val="Heading2"/>
      </w:pPr>
      <w:r>
        <w:t xml:space="preserve">3. SLO Targets</w:t>
      </w:r>
    </w:p>
    <w:bookmarkStart w:id="28" w:name="production-slos"/>
    <w:p>
      <w:pPr>
        <w:pStyle w:val="Heading3"/>
      </w:pPr>
      <w:r>
        <w:t xml:space="preserve">3.1 Production SLOs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99.0%</w:t>
            </w:r>
            <w:r>
              <w:t xml:space="preserve"> (kept conservative pending automated failover; a manual-promotion replica now exists but hasn't yet been proven to shorten real incidents)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99.0% successful requests over any 30-day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(p99)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latency &gt; 500ms for &gt; 10 consecutive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rate &gt; 1% for &gt; 5 consecutive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Avail.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99.0%</w:t>
            </w:r>
            <w:r>
              <w:t xml:space="preserve"> (kept at 99.0% rather than restored to 99.9% — a StatefulSet replica exists on crails-k3s-worker-node02, but promotion is manual, so automated failover credit isn't assumed yet)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connection failures for &gt; 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Avail.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99.0%</w:t>
            </w:r>
            <w:r>
              <w:t xml:space="preserve"> (reduced — shares constrained hybrid node)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connection failures for &gt; 2 minutes</w:t>
            </w:r>
          </w:p>
        </w:tc>
      </w:tr>
    </w:tbl>
    <w:bookmarkEnd w:id="28"/>
    <w:bookmarkStart w:id="29" w:name="staging-slos"/>
    <w:p>
      <w:pPr>
        <w:pStyle w:val="Heading3"/>
      </w:pPr>
      <w:r>
        <w:t xml:space="preserve">3.2 Staging SLOs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target — staging tolerates more instability during active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(p99)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production target — acceptable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pipelines may cause transient errors</w:t>
            </w:r>
          </w:p>
        </w:tc>
      </w:tr>
    </w:tbl>
    <w:bookmarkEnd w:id="29"/>
    <w:bookmarkEnd w:id="30"/>
    <w:bookmarkStart w:id="34" w:name="error-budget"/>
    <w:p>
      <w:pPr>
        <w:pStyle w:val="Heading2"/>
      </w:pPr>
      <w:r>
        <w:t xml:space="preserve">4. Error Budget</w:t>
      </w:r>
    </w:p>
    <w:bookmarkStart w:id="31" w:name="error-budget-calculation-production"/>
    <w:p>
      <w:pPr>
        <w:pStyle w:val="Heading3"/>
      </w:pPr>
      <w:r>
        <w:t xml:space="preserve">4.1 Error Budget Calculation — Production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Budget 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Downtime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 = ~432 minutes/month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~7.2 hours per 30-day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(p99)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 rate tracked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at 2x burn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= 14.4 minutes/day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when rate &gt; 1% for 5 min</w:t>
            </w:r>
          </w:p>
        </w:tc>
      </w:tr>
    </w:tbl>
    <w:bookmarkEnd w:id="31"/>
    <w:bookmarkStart w:id="32" w:name="error-budget-policy"/>
    <w:p>
      <w:pPr>
        <w:pStyle w:val="Heading3"/>
      </w:pPr>
      <w:r>
        <w:t xml:space="preserve">4.2 Error Budget Policy</w:t>
      </w:r>
    </w:p>
    <w:p>
      <w:pPr>
        <w:numPr>
          <w:ilvl w:val="0"/>
          <w:numId w:val="1001"/>
        </w:numPr>
        <w:pStyle w:val="Compact"/>
      </w:pPr>
      <w:r>
        <w:t xml:space="preserve">When Error Budget &gt; 50% remaining: Normal deployment velocity allowed</w:t>
      </w:r>
    </w:p>
    <w:p>
      <w:pPr>
        <w:numPr>
          <w:ilvl w:val="0"/>
          <w:numId w:val="1001"/>
        </w:numPr>
        <w:pStyle w:val="Compact"/>
      </w:pPr>
      <w:r>
        <w:t xml:space="preserve">When Error Budget 25–50% remaining: All deployments require additional review; chaos tests paused</w:t>
      </w:r>
    </w:p>
    <w:p>
      <w:pPr>
        <w:numPr>
          <w:ilvl w:val="0"/>
          <w:numId w:val="1001"/>
        </w:numPr>
        <w:pStyle w:val="Compact"/>
      </w:pPr>
      <w:r>
        <w:t xml:space="preserve">When Error Budget &lt; 25% remaining: Deploy freeze — only critical security patches allowed</w:t>
      </w:r>
    </w:p>
    <w:p>
      <w:pPr>
        <w:numPr>
          <w:ilvl w:val="0"/>
          <w:numId w:val="1001"/>
        </w:numPr>
        <w:pStyle w:val="Compact"/>
      </w:pPr>
      <w:r>
        <w:t xml:space="preserve">When Error Budget exhausted (0%): Incident declared; post-mortem required before next release</w:t>
      </w:r>
    </w:p>
    <w:bookmarkEnd w:id="32"/>
    <w:bookmarkStart w:id="33" w:name="alerting-thresholds"/>
    <w:p>
      <w:pPr>
        <w:pStyle w:val="Heading3"/>
      </w:pPr>
      <w:r>
        <w:t xml:space="preserve">4.3 Alerting Thresholds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budget burning &gt; 2x baseline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on-call; investigate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budget burning &gt; 10x baseline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declared; invoke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&gt; 500ms for 10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DB/Redis latency (check for resource contention on hybrid node)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&gt; 2000ms for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DB or Redis failure; invoke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5xx rate &gt; 1% for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app logs and DB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5xx rate &gt; 5% for 2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degraded; invoke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/ready returns 503 for 1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lost on standalone primary — invoke Runbook 1 (restart, or promote the crails-k3s-worker-node02 replica per Section 1.3a)</w:t>
            </w:r>
          </w:p>
        </w:tc>
      </w:tr>
    </w:tbl>
    <w:bookmarkEnd w:id="33"/>
    <w:bookmarkEnd w:id="34"/>
    <w:bookmarkStart w:id="35" w:name="grafana-dashboard-specifications"/>
    <w:p>
      <w:pPr>
        <w:pStyle w:val="Heading2"/>
      </w:pPr>
      <w:r>
        <w:t xml:space="preserve">5. Grafana Dashboard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PromQL /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Availability (30d)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(good_requests/total_requests)*100 over 30d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&gt;99.0%, Red &lt;99.0%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Budget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from availability 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0-100%; Red &lt;25%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rate(traefik_requests_total[5m])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histogram_quantile(0.99,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&gt;300ms, Red &gt;500ms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5xx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rate(5xx_requests[5m])/total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&gt;0.5%, Red &gt;1%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Connection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 success from 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Green=UP, Red=DOWN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Connection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 success from 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Green=UP, Red=DOWN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Node Resource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Exporter CPU/RAM on crails-hybrid-worker-node03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&gt;75%, Red &gt;90%</w:t>
            </w:r>
          </w:p>
        </w:tc>
      </w:tr>
    </w:tbl>
    <w:bookmarkEnd w:id="35"/>
    <w:bookmarkStart w:id="36" w:name="references"/>
    <w:p>
      <w:pPr>
        <w:pStyle w:val="Heading2"/>
      </w:pPr>
      <w:r>
        <w:t xml:space="preserve">6.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SRE Book — SLOs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https://sre.google/sre-book/service-level-objectives/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CRAILS Platform HLD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C.R.A.I.L.S. Platform — High-Level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CRAILS Platform LLD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C.R.A.I.L.S. Platform — Low-Level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 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linkedin.com/in/biswadipmajumdar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2026-07-24T22:43:21Z</dcterms:created>
  <dcterms:modified xsi:type="dcterms:W3CDTF">2026-07-24T22:43:21Z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