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B99FC" w14:textId="0B315BF2" w:rsidR="00F13BA2" w:rsidRDefault="00F13BA2">
      <w:pPr>
        <w:rPr>
          <w:sz w:val="22"/>
          <w:szCs w:val="22"/>
        </w:rPr>
      </w:pPr>
      <w:r>
        <w:rPr>
          <w:sz w:val="22"/>
          <w:szCs w:val="22"/>
        </w:rPr>
        <w:t xml:space="preserve">Dear Dr </w:t>
      </w:r>
      <w:proofErr w:type="spellStart"/>
      <w:r>
        <w:rPr>
          <w:sz w:val="22"/>
          <w:szCs w:val="22"/>
        </w:rPr>
        <w:t>Treccani</w:t>
      </w:r>
      <w:proofErr w:type="spellEnd"/>
      <w:r>
        <w:rPr>
          <w:sz w:val="22"/>
          <w:szCs w:val="22"/>
        </w:rPr>
        <w:t>,</w:t>
      </w:r>
    </w:p>
    <w:p w14:paraId="62089EC5" w14:textId="77777777" w:rsidR="00F13BA2" w:rsidRDefault="00F13BA2">
      <w:pPr>
        <w:rPr>
          <w:sz w:val="22"/>
          <w:szCs w:val="22"/>
        </w:rPr>
      </w:pPr>
    </w:p>
    <w:p w14:paraId="0461D223" w14:textId="58377637" w:rsidR="00451E3A" w:rsidRDefault="00F13BA2">
      <w:pPr>
        <w:rPr>
          <w:sz w:val="22"/>
          <w:szCs w:val="22"/>
        </w:rPr>
      </w:pPr>
      <w:r>
        <w:rPr>
          <w:sz w:val="22"/>
          <w:szCs w:val="22"/>
        </w:rPr>
        <w:t xml:space="preserve">Thank you and the reviewers once again for the constructive comments on our paper. We have </w:t>
      </w:r>
      <w:r w:rsidR="00451E3A">
        <w:rPr>
          <w:sz w:val="22"/>
          <w:szCs w:val="22"/>
        </w:rPr>
        <w:t>used these comments to revise the paper</w:t>
      </w:r>
      <w:r w:rsidR="008E64AF">
        <w:rPr>
          <w:sz w:val="22"/>
          <w:szCs w:val="22"/>
        </w:rPr>
        <w:t xml:space="preserve"> (highlights in yellow).</w:t>
      </w:r>
      <w:r w:rsidR="00451E3A">
        <w:rPr>
          <w:sz w:val="22"/>
          <w:szCs w:val="22"/>
        </w:rPr>
        <w:t xml:space="preserve"> </w:t>
      </w:r>
      <w:r w:rsidR="008E64AF">
        <w:rPr>
          <w:sz w:val="22"/>
          <w:szCs w:val="22"/>
        </w:rPr>
        <w:t>We</w:t>
      </w:r>
      <w:r w:rsidR="00451E3A">
        <w:rPr>
          <w:sz w:val="22"/>
          <w:szCs w:val="22"/>
        </w:rPr>
        <w:t xml:space="preserve"> explain the revisions in our responses below. We think the revised paper has been improved by the additional changes and are happy to resubmit it as a final revision for your consideration.</w:t>
      </w:r>
    </w:p>
    <w:p w14:paraId="73EC57FC" w14:textId="77777777" w:rsidR="00451E3A" w:rsidRDefault="00451E3A">
      <w:pPr>
        <w:rPr>
          <w:sz w:val="22"/>
          <w:szCs w:val="22"/>
        </w:rPr>
      </w:pPr>
    </w:p>
    <w:p w14:paraId="5196A37A" w14:textId="77777777" w:rsidR="00451E3A" w:rsidRDefault="00451E3A">
      <w:pPr>
        <w:rPr>
          <w:sz w:val="22"/>
          <w:szCs w:val="22"/>
        </w:rPr>
      </w:pPr>
      <w:r>
        <w:rPr>
          <w:sz w:val="22"/>
          <w:szCs w:val="22"/>
        </w:rPr>
        <w:t>Kind regards,</w:t>
      </w:r>
    </w:p>
    <w:p w14:paraId="7F1B4960" w14:textId="3F871241" w:rsidR="00F13BA2" w:rsidRDefault="00451E3A">
      <w:pPr>
        <w:rPr>
          <w:sz w:val="22"/>
          <w:szCs w:val="22"/>
        </w:rPr>
      </w:pPr>
      <w:r>
        <w:rPr>
          <w:sz w:val="22"/>
          <w:szCs w:val="22"/>
        </w:rPr>
        <w:t xml:space="preserve">Amelia (on behalf of all the authors) </w:t>
      </w:r>
    </w:p>
    <w:p w14:paraId="26D11004" w14:textId="77777777" w:rsidR="00F13BA2" w:rsidRDefault="00F13BA2">
      <w:pPr>
        <w:rPr>
          <w:sz w:val="22"/>
          <w:szCs w:val="22"/>
        </w:rPr>
      </w:pPr>
    </w:p>
    <w:p w14:paraId="52BB4D08" w14:textId="3BE94040" w:rsidR="008E64AF" w:rsidRPr="008E64AF" w:rsidRDefault="008E64AF">
      <w:pPr>
        <w:rPr>
          <w:color w:val="4472C4" w:themeColor="accent1"/>
          <w:sz w:val="22"/>
          <w:szCs w:val="22"/>
        </w:rPr>
      </w:pPr>
      <w:r w:rsidRPr="008E64AF">
        <w:rPr>
          <w:color w:val="4472C4" w:themeColor="accent1"/>
          <w:sz w:val="22"/>
          <w:szCs w:val="22"/>
        </w:rPr>
        <w:t>Editor comments:</w:t>
      </w:r>
    </w:p>
    <w:p w14:paraId="10129FE6" w14:textId="62BEF49E" w:rsidR="00451E3A" w:rsidRPr="008E64AF" w:rsidRDefault="000007F7">
      <w:pPr>
        <w:rPr>
          <w:i/>
          <w:iCs/>
          <w:color w:val="4472C4" w:themeColor="accent1"/>
          <w:sz w:val="22"/>
          <w:szCs w:val="22"/>
        </w:rPr>
      </w:pPr>
      <w:r w:rsidRPr="008E64AF">
        <w:rPr>
          <w:color w:val="4472C4" w:themeColor="accent1"/>
          <w:sz w:val="22"/>
          <w:szCs w:val="22"/>
        </w:rPr>
        <w:br/>
      </w:r>
      <w:r w:rsidRPr="008E64AF">
        <w:rPr>
          <w:i/>
          <w:iCs/>
          <w:color w:val="4472C4" w:themeColor="accent1"/>
          <w:sz w:val="22"/>
          <w:szCs w:val="22"/>
        </w:rPr>
        <w:t>Clarify and calibrate key claims.</w:t>
      </w:r>
      <w:r w:rsidRPr="008E64AF">
        <w:rPr>
          <w:i/>
          <w:iCs/>
          <w:color w:val="4472C4" w:themeColor="accent1"/>
          <w:sz w:val="22"/>
          <w:szCs w:val="22"/>
        </w:rPr>
        <w:br/>
        <w:t>Please ensure that your claims—particularly the idea that variable and sub-optimal responding constitutes a “persistent default mode”—are clearly presented as theoretically motivated interpretations of the empirical pattern. Where appropriate, alternative perspectives should be explicitly acknowledged and briefly contrasted with your interpretation.</w:t>
      </w:r>
      <w:r w:rsidRPr="008E64AF">
        <w:rPr>
          <w:i/>
          <w:iCs/>
          <w:color w:val="4472C4" w:themeColor="accent1"/>
          <w:sz w:val="22"/>
          <w:szCs w:val="22"/>
        </w:rPr>
        <w:br/>
      </w:r>
    </w:p>
    <w:p w14:paraId="79276B00" w14:textId="2EBB73C9" w:rsidR="00451E3A" w:rsidRDefault="00451E3A">
      <w:pPr>
        <w:rPr>
          <w:sz w:val="22"/>
          <w:szCs w:val="22"/>
        </w:rPr>
      </w:pPr>
      <w:r>
        <w:rPr>
          <w:sz w:val="22"/>
          <w:szCs w:val="22"/>
        </w:rPr>
        <w:t xml:space="preserve">We have removed the phrase “default mode” from the title, abstract, and throughout the paper as it may have connotations we did not intend. We have also read through the paper carefully to ensure our </w:t>
      </w:r>
      <w:r w:rsidR="00C1751C">
        <w:rPr>
          <w:sz w:val="22"/>
          <w:szCs w:val="22"/>
        </w:rPr>
        <w:t xml:space="preserve">perspective on the results is </w:t>
      </w:r>
      <w:r w:rsidR="008E64AF">
        <w:rPr>
          <w:sz w:val="22"/>
          <w:szCs w:val="22"/>
        </w:rPr>
        <w:t>balanced and considers</w:t>
      </w:r>
      <w:r w:rsidR="00DE5CD6">
        <w:rPr>
          <w:sz w:val="22"/>
          <w:szCs w:val="22"/>
        </w:rPr>
        <w:t xml:space="preserve"> </w:t>
      </w:r>
      <w:r w:rsidR="00C1751C">
        <w:rPr>
          <w:sz w:val="22"/>
          <w:szCs w:val="22"/>
        </w:rPr>
        <w:t>alternative</w:t>
      </w:r>
      <w:r w:rsidR="00DE5CD6">
        <w:rPr>
          <w:sz w:val="22"/>
          <w:szCs w:val="22"/>
        </w:rPr>
        <w:t>s</w:t>
      </w:r>
      <w:r w:rsidR="00C1751C">
        <w:rPr>
          <w:sz w:val="22"/>
          <w:szCs w:val="22"/>
        </w:rPr>
        <w:t>.</w:t>
      </w:r>
      <w:r>
        <w:rPr>
          <w:sz w:val="22"/>
          <w:szCs w:val="22"/>
        </w:rPr>
        <w:t xml:space="preserve">  </w:t>
      </w:r>
    </w:p>
    <w:p w14:paraId="0F6B975A" w14:textId="77777777" w:rsidR="00C1751C" w:rsidRDefault="000007F7">
      <w:pPr>
        <w:rPr>
          <w:sz w:val="22"/>
          <w:szCs w:val="22"/>
        </w:rPr>
      </w:pPr>
      <w:r>
        <w:rPr>
          <w:sz w:val="22"/>
          <w:szCs w:val="22"/>
        </w:rPr>
        <w:br/>
      </w:r>
      <w:r w:rsidRPr="008E64AF">
        <w:rPr>
          <w:i/>
          <w:iCs/>
          <w:color w:val="4472C4" w:themeColor="accent1"/>
          <w:sz w:val="22"/>
          <w:szCs w:val="22"/>
        </w:rPr>
        <w:t>Streamline terminology and structure.</w:t>
      </w:r>
      <w:r w:rsidRPr="008E64AF">
        <w:rPr>
          <w:i/>
          <w:iCs/>
          <w:color w:val="4472C4" w:themeColor="accent1"/>
          <w:sz w:val="22"/>
          <w:szCs w:val="22"/>
        </w:rPr>
        <w:br/>
        <w:t>One of the reviewers has encouraged one more careful editing pass to simplify the exposition, reduce any remaining redundancy between sections, and ensure consistent use of terminology throughout the Introduction, Results, and General Discussion. This includes harmonising labels for key constructs across studies and making it easier for readers to follow how the empirical findings relate to the broader literatures you cite.</w:t>
      </w:r>
      <w:r w:rsidRPr="008E64AF">
        <w:rPr>
          <w:i/>
          <w:iCs/>
          <w:color w:val="4472C4" w:themeColor="accent1"/>
          <w:sz w:val="22"/>
          <w:szCs w:val="22"/>
        </w:rPr>
        <w:br/>
      </w:r>
    </w:p>
    <w:p w14:paraId="07E53D18" w14:textId="2B747D79" w:rsidR="00C1751C" w:rsidRDefault="00C1751C">
      <w:pPr>
        <w:rPr>
          <w:sz w:val="22"/>
          <w:szCs w:val="22"/>
        </w:rPr>
      </w:pPr>
      <w:r>
        <w:rPr>
          <w:sz w:val="22"/>
          <w:szCs w:val="22"/>
        </w:rPr>
        <w:t>We have streamlined the introduction</w:t>
      </w:r>
      <w:r w:rsidR="00DE5CD6">
        <w:rPr>
          <w:sz w:val="22"/>
          <w:szCs w:val="22"/>
        </w:rPr>
        <w:t xml:space="preserve">, removing the section on perceptual learning which seemed unnecessary in the final version of the paper. We also ensured consistent use of terms like “throwing task”, “focus-or-divide” and “decision rules”. </w:t>
      </w:r>
      <w:r w:rsidR="008E64AF">
        <w:rPr>
          <w:sz w:val="22"/>
          <w:szCs w:val="22"/>
        </w:rPr>
        <w:t>As suggested by the reviewer below, we have also been more judicious with the term “transfer”.</w:t>
      </w:r>
    </w:p>
    <w:p w14:paraId="59C44010" w14:textId="09E0B802" w:rsidR="008E64AF" w:rsidRDefault="000007F7">
      <w:pPr>
        <w:rPr>
          <w:sz w:val="22"/>
          <w:szCs w:val="22"/>
        </w:rPr>
      </w:pPr>
      <w:r>
        <w:rPr>
          <w:sz w:val="22"/>
          <w:szCs w:val="22"/>
        </w:rPr>
        <w:br/>
      </w:r>
      <w:r w:rsidRPr="008E64AF">
        <w:rPr>
          <w:i/>
          <w:iCs/>
          <w:color w:val="4472C4" w:themeColor="accent1"/>
          <w:sz w:val="22"/>
          <w:szCs w:val="22"/>
        </w:rPr>
        <w:t>Update and broaden the literature review.</w:t>
      </w:r>
      <w:r w:rsidR="008E64AF" w:rsidRPr="008E64AF">
        <w:rPr>
          <w:i/>
          <w:iCs/>
          <w:color w:val="4472C4" w:themeColor="accent1"/>
          <w:sz w:val="22"/>
          <w:szCs w:val="22"/>
        </w:rPr>
        <w:t xml:space="preserve"> </w:t>
      </w:r>
      <w:r w:rsidRPr="008E64AF">
        <w:rPr>
          <w:i/>
          <w:iCs/>
          <w:color w:val="4472C4" w:themeColor="accent1"/>
          <w:sz w:val="22"/>
          <w:szCs w:val="22"/>
        </w:rPr>
        <w:t>Please review sections in which broad claims are made about learning, memory, context specificity, and transfer, and ensure that these are supported by an appropriately up-to-date and representative selection of references, including both classic and more recent contributions where relevant.</w:t>
      </w:r>
      <w:r w:rsidRPr="00DE5CD6">
        <w:rPr>
          <w:i/>
          <w:iCs/>
          <w:sz w:val="22"/>
          <w:szCs w:val="22"/>
        </w:rPr>
        <w:br/>
      </w:r>
      <w:r>
        <w:rPr>
          <w:sz w:val="22"/>
          <w:szCs w:val="22"/>
        </w:rPr>
        <w:br/>
      </w:r>
      <w:r w:rsidR="008E64AF">
        <w:rPr>
          <w:sz w:val="22"/>
          <w:szCs w:val="22"/>
        </w:rPr>
        <w:t>We have reviewed these sections and added some references. Overall though we have philosophical difference with the reviewer, in that we deliberately seek out the original sources to call attention to the long history of these ideas. Many recent papers neglect foundational work, and this risks over-writing and forgetting it.</w:t>
      </w:r>
    </w:p>
    <w:p w14:paraId="11C117FC" w14:textId="77777777" w:rsidR="008E64AF" w:rsidRDefault="008E64AF">
      <w:pPr>
        <w:rPr>
          <w:sz w:val="22"/>
          <w:szCs w:val="22"/>
        </w:rPr>
      </w:pPr>
    </w:p>
    <w:p w14:paraId="4DA039DD" w14:textId="77777777" w:rsidR="008E64AF" w:rsidRDefault="000007F7">
      <w:pPr>
        <w:rPr>
          <w:sz w:val="22"/>
          <w:szCs w:val="22"/>
        </w:rPr>
      </w:pPr>
      <w:r w:rsidRPr="008E64AF">
        <w:rPr>
          <w:i/>
          <w:iCs/>
          <w:color w:val="4472C4" w:themeColor="accent1"/>
          <w:sz w:val="22"/>
          <w:szCs w:val="22"/>
        </w:rPr>
        <w:t>Finalise materials and documentation.</w:t>
      </w:r>
      <w:r w:rsidRPr="008E64AF">
        <w:rPr>
          <w:i/>
          <w:iCs/>
          <w:color w:val="4472C4" w:themeColor="accent1"/>
          <w:sz w:val="22"/>
          <w:szCs w:val="22"/>
        </w:rPr>
        <w:br/>
        <w:t>Please ensure that the materials on the Open Science Framework are clearly organised and documented in their final form for publication. Data, analysis scripts, and instructions for reproducing the main results should be readily interpretable by readers and other researchers. If some working files remain on a GitHub repository, please clarify how these relate to the materials archived on OSF.</w:t>
      </w:r>
    </w:p>
    <w:p w14:paraId="3C809F2A" w14:textId="4B329174" w:rsidR="00DE5CD6" w:rsidRPr="008E64AF" w:rsidRDefault="008E64AF">
      <w:pPr>
        <w:rPr>
          <w:i/>
          <w:iCs/>
          <w:color w:val="4472C4" w:themeColor="accent1"/>
          <w:sz w:val="22"/>
          <w:szCs w:val="22"/>
        </w:rPr>
      </w:pPr>
      <w:r>
        <w:rPr>
          <w:sz w:val="22"/>
          <w:szCs w:val="22"/>
        </w:rPr>
        <w:lastRenderedPageBreak/>
        <w:t xml:space="preserve">We will create a link from the OSF to the public </w:t>
      </w:r>
      <w:proofErr w:type="spellStart"/>
      <w:r>
        <w:rPr>
          <w:sz w:val="22"/>
          <w:szCs w:val="22"/>
        </w:rPr>
        <w:t>github</w:t>
      </w:r>
      <w:proofErr w:type="spellEnd"/>
      <w:r>
        <w:rPr>
          <w:sz w:val="22"/>
          <w:szCs w:val="22"/>
        </w:rPr>
        <w:t xml:space="preserve"> repository where the data files and scripts are stored.</w:t>
      </w:r>
      <w:r w:rsidR="000007F7" w:rsidRPr="008E64AF">
        <w:rPr>
          <w:sz w:val="22"/>
          <w:szCs w:val="22"/>
        </w:rPr>
        <w:br/>
      </w:r>
      <w:r w:rsidR="000007F7">
        <w:rPr>
          <w:sz w:val="22"/>
          <w:szCs w:val="22"/>
        </w:rPr>
        <w:br/>
      </w:r>
      <w:r w:rsidR="000007F7" w:rsidRPr="008E64AF">
        <w:rPr>
          <w:i/>
          <w:iCs/>
          <w:color w:val="4472C4" w:themeColor="accent1"/>
          <w:sz w:val="22"/>
          <w:szCs w:val="22"/>
        </w:rPr>
        <w:t>In addition, please provide a brief final response to the points raised by Reviewer 2, indicating how each comment has been addressed in the revised manuscript. Provided that these responses are satisfactory, I will make the final editorial decision without sending the manuscript for further external review.</w:t>
      </w:r>
      <w:r w:rsidR="000007F7" w:rsidRPr="008E64AF">
        <w:rPr>
          <w:i/>
          <w:iCs/>
          <w:color w:val="4472C4" w:themeColor="accent1"/>
          <w:sz w:val="22"/>
          <w:szCs w:val="22"/>
        </w:rPr>
        <w:br/>
      </w:r>
      <w:r w:rsidR="000007F7">
        <w:rPr>
          <w:sz w:val="22"/>
          <w:szCs w:val="22"/>
        </w:rPr>
        <w:br/>
      </w:r>
      <w:r>
        <w:rPr>
          <w:sz w:val="22"/>
          <w:szCs w:val="22"/>
        </w:rPr>
        <w:t>This has been done below. Thank you again for your decision.</w:t>
      </w:r>
      <w:r w:rsidR="000007F7">
        <w:rPr>
          <w:sz w:val="22"/>
          <w:szCs w:val="22"/>
        </w:rPr>
        <w:br/>
      </w:r>
      <w:r w:rsidR="000007F7">
        <w:rPr>
          <w:sz w:val="22"/>
          <w:szCs w:val="22"/>
        </w:rPr>
        <w:br/>
      </w:r>
      <w:r w:rsidR="000007F7" w:rsidRPr="008E64AF">
        <w:rPr>
          <w:i/>
          <w:iCs/>
          <w:color w:val="4472C4" w:themeColor="accent1"/>
          <w:sz w:val="22"/>
          <w:szCs w:val="22"/>
        </w:rPr>
        <w:t>The authors have worked hard and made sincere efforts to respond to the reviewers' reactions and suggestions. The manuscript is much clearer now in describing the methods, results and conclusions.</w:t>
      </w:r>
      <w:r w:rsidR="000007F7" w:rsidRPr="008E64AF">
        <w:rPr>
          <w:i/>
          <w:iCs/>
          <w:color w:val="4472C4" w:themeColor="accent1"/>
          <w:sz w:val="22"/>
          <w:szCs w:val="22"/>
        </w:rPr>
        <w:br/>
        <w:t>I have a few specific comments:</w:t>
      </w:r>
      <w:r w:rsidR="000007F7" w:rsidRPr="008E64AF">
        <w:rPr>
          <w:i/>
          <w:iCs/>
          <w:color w:val="4472C4" w:themeColor="accent1"/>
          <w:sz w:val="22"/>
          <w:szCs w:val="22"/>
        </w:rPr>
        <w:br/>
        <w:t>The second sentence of the Abstract does not seem to articulate a clear research question.</w:t>
      </w:r>
    </w:p>
    <w:p w14:paraId="4CA620F6" w14:textId="77777777" w:rsidR="00DE5CD6" w:rsidRDefault="00DE5CD6">
      <w:pPr>
        <w:rPr>
          <w:sz w:val="22"/>
          <w:szCs w:val="22"/>
        </w:rPr>
      </w:pPr>
    </w:p>
    <w:p w14:paraId="6933E131" w14:textId="77777777" w:rsidR="00DE5CD6" w:rsidRPr="008E64AF" w:rsidRDefault="00DE5CD6">
      <w:pPr>
        <w:rPr>
          <w:i/>
          <w:iCs/>
          <w:color w:val="4472C4" w:themeColor="accent1"/>
          <w:sz w:val="22"/>
          <w:szCs w:val="22"/>
        </w:rPr>
      </w:pPr>
      <w:r w:rsidRPr="00DE5CD6">
        <w:rPr>
          <w:sz w:val="22"/>
          <w:szCs w:val="22"/>
        </w:rPr>
        <w:t>We have revised the abstract to frame our aim as a question.</w:t>
      </w:r>
      <w:r w:rsidR="000007F7">
        <w:rPr>
          <w:sz w:val="22"/>
          <w:szCs w:val="22"/>
        </w:rPr>
        <w:br/>
      </w:r>
      <w:r w:rsidR="000007F7">
        <w:rPr>
          <w:sz w:val="22"/>
          <w:szCs w:val="22"/>
        </w:rPr>
        <w:br/>
      </w:r>
      <w:r w:rsidR="000007F7" w:rsidRPr="008E64AF">
        <w:rPr>
          <w:i/>
          <w:iCs/>
          <w:color w:val="4472C4" w:themeColor="accent1"/>
          <w:sz w:val="22"/>
          <w:szCs w:val="22"/>
        </w:rPr>
        <w:t xml:space="preserve">p. 15. Re </w:t>
      </w:r>
      <w:proofErr w:type="spellStart"/>
      <w:r w:rsidR="000007F7" w:rsidRPr="008E64AF">
        <w:rPr>
          <w:i/>
          <w:iCs/>
          <w:color w:val="4472C4" w:themeColor="accent1"/>
          <w:sz w:val="22"/>
          <w:szCs w:val="22"/>
        </w:rPr>
        <w:t>Expt</w:t>
      </w:r>
      <w:proofErr w:type="spellEnd"/>
      <w:r w:rsidR="000007F7" w:rsidRPr="008E64AF">
        <w:rPr>
          <w:i/>
          <w:iCs/>
          <w:color w:val="4472C4" w:themeColor="accent1"/>
          <w:sz w:val="22"/>
          <w:szCs w:val="22"/>
        </w:rPr>
        <w:t xml:space="preserve"> 1B, it is arguable that when one has only ten minutes to review for two possible test questions, one should focus on only one of them.  I would bet if I gave this question to a group of psychology or education graduate students (or professors), the results would exhibit "variability". Thus, the "logic questions" condition may have not been a powerful hint at the general principle.</w:t>
      </w:r>
    </w:p>
    <w:p w14:paraId="384907DA" w14:textId="77777777" w:rsidR="00DE5CD6" w:rsidRDefault="00DE5CD6">
      <w:pPr>
        <w:rPr>
          <w:sz w:val="22"/>
          <w:szCs w:val="22"/>
        </w:rPr>
      </w:pPr>
    </w:p>
    <w:p w14:paraId="14766787" w14:textId="2CA9A6C3" w:rsidR="00B42BC6" w:rsidRDefault="00B42BC6">
      <w:pPr>
        <w:rPr>
          <w:i/>
          <w:iCs/>
          <w:sz w:val="22"/>
          <w:szCs w:val="22"/>
        </w:rPr>
      </w:pPr>
      <w:r w:rsidRPr="00B42BC6">
        <w:rPr>
          <w:sz w:val="22"/>
          <w:szCs w:val="22"/>
        </w:rPr>
        <w:t xml:space="preserve">Yes, it’s true that this </w:t>
      </w:r>
      <w:r w:rsidR="008E64AF">
        <w:rPr>
          <w:sz w:val="22"/>
          <w:szCs w:val="22"/>
        </w:rPr>
        <w:t xml:space="preserve">problem </w:t>
      </w:r>
      <w:r w:rsidRPr="00B42BC6">
        <w:rPr>
          <w:sz w:val="22"/>
          <w:szCs w:val="22"/>
        </w:rPr>
        <w:t>is not consistently solved correctly and so it really becomes more of an intermediate “control” condition, somewhere between the arithmetic group and the reaching group. Given that there’s no difference between any of the groups in the throwing context though, this does not have any bearing on the conclusions. We have added a note to the text though to make this clear, thank you for pointing that out</w:t>
      </w:r>
      <w:r>
        <w:rPr>
          <w:i/>
          <w:iCs/>
          <w:sz w:val="22"/>
          <w:szCs w:val="22"/>
        </w:rPr>
        <w:t>.</w:t>
      </w:r>
    </w:p>
    <w:p w14:paraId="43547DE0" w14:textId="77777777" w:rsidR="00B42BC6" w:rsidRDefault="00B42BC6">
      <w:pPr>
        <w:rPr>
          <w:sz w:val="22"/>
          <w:szCs w:val="22"/>
        </w:rPr>
      </w:pPr>
    </w:p>
    <w:p w14:paraId="78935C79" w14:textId="545151A1" w:rsidR="00B42BC6" w:rsidRDefault="000007F7">
      <w:pPr>
        <w:rPr>
          <w:sz w:val="22"/>
          <w:szCs w:val="22"/>
        </w:rPr>
      </w:pPr>
      <w:r w:rsidRPr="008E64AF">
        <w:rPr>
          <w:i/>
          <w:iCs/>
          <w:color w:val="4472C4" w:themeColor="accent1"/>
          <w:sz w:val="22"/>
          <w:szCs w:val="22"/>
        </w:rPr>
        <w:t>The last paragraph on p. 15 has several typos.</w:t>
      </w:r>
      <w:r w:rsidRPr="008E64AF">
        <w:rPr>
          <w:i/>
          <w:iCs/>
          <w:color w:val="4472C4" w:themeColor="accent1"/>
          <w:sz w:val="22"/>
          <w:szCs w:val="22"/>
        </w:rPr>
        <w:br/>
      </w:r>
      <w:r w:rsidRPr="008E64AF">
        <w:rPr>
          <w:i/>
          <w:iCs/>
          <w:color w:val="4472C4" w:themeColor="accent1"/>
          <w:sz w:val="22"/>
          <w:szCs w:val="22"/>
        </w:rPr>
        <w:br/>
      </w:r>
      <w:r w:rsidR="00B42BC6">
        <w:rPr>
          <w:sz w:val="22"/>
          <w:szCs w:val="22"/>
        </w:rPr>
        <w:t>We have proofread the paper for typos. (I think the paragraph in question appears at the bottom of page 16 in the numbered pages in the manuscript.)</w:t>
      </w:r>
    </w:p>
    <w:p w14:paraId="2ECE4F7D" w14:textId="77777777" w:rsidR="00B42BC6" w:rsidRDefault="00B42BC6">
      <w:pPr>
        <w:rPr>
          <w:sz w:val="22"/>
          <w:szCs w:val="22"/>
        </w:rPr>
      </w:pPr>
    </w:p>
    <w:p w14:paraId="21D68158" w14:textId="1C6D4D66" w:rsidR="00B42BC6" w:rsidRDefault="000007F7">
      <w:pPr>
        <w:rPr>
          <w:sz w:val="22"/>
          <w:szCs w:val="22"/>
        </w:rPr>
      </w:pPr>
      <w:r w:rsidRPr="008E64AF">
        <w:rPr>
          <w:i/>
          <w:iCs/>
          <w:color w:val="4472C4" w:themeColor="accent1"/>
          <w:sz w:val="22"/>
          <w:szCs w:val="22"/>
        </w:rPr>
        <w:t xml:space="preserve">I still feel that the references are quite dated and limited in places.  For example, on p. 19: "More generally, it has long been known that learning and memory are highly context specific (e.g. </w:t>
      </w:r>
      <w:proofErr w:type="spellStart"/>
      <w:r w:rsidRPr="008E64AF">
        <w:rPr>
          <w:i/>
          <w:iCs/>
          <w:color w:val="4472C4" w:themeColor="accent1"/>
          <w:sz w:val="22"/>
          <w:szCs w:val="22"/>
        </w:rPr>
        <w:t>Carr</w:t>
      </w:r>
      <w:proofErr w:type="spellEnd"/>
      <w:r w:rsidRPr="008E64AF">
        <w:rPr>
          <w:i/>
          <w:iCs/>
          <w:color w:val="4472C4" w:themeColor="accent1"/>
          <w:sz w:val="22"/>
          <w:szCs w:val="22"/>
        </w:rPr>
        <w:t xml:space="preserve">, 1925).." (only a single reference, 100 years old!).  Here, many standard recent references on this point are conspicuously absent, for example Tulving &amp; Thomson (1973), Godden &amp; Baddeley (1975), Smith, </w:t>
      </w:r>
      <w:proofErr w:type="spellStart"/>
      <w:r w:rsidRPr="008E64AF">
        <w:rPr>
          <w:i/>
          <w:iCs/>
          <w:color w:val="4472C4" w:themeColor="accent1"/>
          <w:sz w:val="22"/>
          <w:szCs w:val="22"/>
        </w:rPr>
        <w:t>Glenberg</w:t>
      </w:r>
      <w:proofErr w:type="spellEnd"/>
      <w:r w:rsidRPr="008E64AF">
        <w:rPr>
          <w:i/>
          <w:iCs/>
          <w:color w:val="4472C4" w:themeColor="accent1"/>
          <w:sz w:val="22"/>
          <w:szCs w:val="22"/>
        </w:rPr>
        <w:t>, &amp; Bjork (1978).</w:t>
      </w:r>
      <w:r w:rsidRPr="008E64AF">
        <w:rPr>
          <w:i/>
          <w:iCs/>
          <w:color w:val="4472C4" w:themeColor="accent1"/>
          <w:sz w:val="22"/>
          <w:szCs w:val="22"/>
        </w:rPr>
        <w:br/>
      </w:r>
      <w:r>
        <w:rPr>
          <w:sz w:val="22"/>
          <w:szCs w:val="22"/>
        </w:rPr>
        <w:br/>
      </w:r>
      <w:r w:rsidR="00B42BC6">
        <w:rPr>
          <w:sz w:val="22"/>
          <w:szCs w:val="22"/>
        </w:rPr>
        <w:t xml:space="preserve">For this point in particular, we are saying “it has long been known”. A 100-year old reference supports that assertion. </w:t>
      </w:r>
    </w:p>
    <w:p w14:paraId="79D11C38" w14:textId="77777777" w:rsidR="00B42BC6" w:rsidRDefault="00B42BC6">
      <w:pPr>
        <w:rPr>
          <w:sz w:val="22"/>
          <w:szCs w:val="22"/>
        </w:rPr>
      </w:pPr>
    </w:p>
    <w:p w14:paraId="15779063" w14:textId="313F63B6" w:rsidR="00B42BC6" w:rsidRDefault="000007F7">
      <w:pPr>
        <w:rPr>
          <w:sz w:val="22"/>
          <w:szCs w:val="22"/>
        </w:rPr>
      </w:pPr>
      <w:r w:rsidRPr="008E64AF">
        <w:rPr>
          <w:i/>
          <w:iCs/>
          <w:color w:val="4472C4" w:themeColor="accent1"/>
          <w:sz w:val="22"/>
          <w:szCs w:val="22"/>
        </w:rPr>
        <w:t>More generally, the authors have also put effort into highlighting connections of this work with a number of issues in cognitive and educational psychology (again responding cooperatively to suggestions). Partly for that reason, I feel this is a thought-provoking article.</w:t>
      </w:r>
      <w:r w:rsidRPr="00B42BC6">
        <w:rPr>
          <w:i/>
          <w:iCs/>
          <w:sz w:val="22"/>
          <w:szCs w:val="22"/>
        </w:rPr>
        <w:br/>
      </w:r>
      <w:r>
        <w:rPr>
          <w:sz w:val="22"/>
          <w:szCs w:val="22"/>
        </w:rPr>
        <w:br/>
      </w:r>
      <w:r w:rsidR="00B42BC6">
        <w:rPr>
          <w:sz w:val="22"/>
          <w:szCs w:val="22"/>
        </w:rPr>
        <w:t>We appreciate the positive assessment. There are indeed many intersecting issues and we are grateful for the suggestions about which of these are most important to highlight.</w:t>
      </w:r>
    </w:p>
    <w:p w14:paraId="1C98BF39" w14:textId="77777777" w:rsidR="00B42BC6" w:rsidRDefault="00B42BC6">
      <w:pPr>
        <w:rPr>
          <w:sz w:val="22"/>
          <w:szCs w:val="22"/>
        </w:rPr>
      </w:pPr>
    </w:p>
    <w:p w14:paraId="167DB6D1" w14:textId="77777777" w:rsidR="00DA6F63" w:rsidRPr="008E64AF" w:rsidRDefault="000007F7">
      <w:pPr>
        <w:rPr>
          <w:i/>
          <w:iCs/>
          <w:color w:val="4472C4" w:themeColor="accent1"/>
          <w:sz w:val="22"/>
          <w:szCs w:val="22"/>
        </w:rPr>
      </w:pPr>
      <w:r w:rsidRPr="008E64AF">
        <w:rPr>
          <w:i/>
          <w:iCs/>
          <w:color w:val="4472C4" w:themeColor="accent1"/>
          <w:sz w:val="22"/>
          <w:szCs w:val="22"/>
        </w:rPr>
        <w:lastRenderedPageBreak/>
        <w:t xml:space="preserve">However, the other reason I think it is thought-provoking is because I still disagree with some of the authors' conclusions, mainly about theoretical mechanisms that might explain the results. The main conclusion is that variability in responding is a "persistent default mode", perhaps because variability of </w:t>
      </w:r>
      <w:proofErr w:type="spellStart"/>
      <w:r w:rsidRPr="008E64AF">
        <w:rPr>
          <w:i/>
          <w:iCs/>
          <w:color w:val="4472C4" w:themeColor="accent1"/>
          <w:sz w:val="22"/>
          <w:szCs w:val="22"/>
        </w:rPr>
        <w:t>behavior</w:t>
      </w:r>
      <w:proofErr w:type="spellEnd"/>
      <w:r w:rsidRPr="008E64AF">
        <w:rPr>
          <w:i/>
          <w:iCs/>
          <w:color w:val="4472C4" w:themeColor="accent1"/>
          <w:sz w:val="22"/>
          <w:szCs w:val="22"/>
        </w:rPr>
        <w:t xml:space="preserve"> enables efficient reinforcement learning (RL). But this explanation and its implications are not thoroughly explored. For example, from that viewpoint the manipulation in </w:t>
      </w:r>
      <w:proofErr w:type="spellStart"/>
      <w:r w:rsidRPr="008E64AF">
        <w:rPr>
          <w:i/>
          <w:iCs/>
          <w:color w:val="4472C4" w:themeColor="accent1"/>
          <w:sz w:val="22"/>
          <w:szCs w:val="22"/>
        </w:rPr>
        <w:t>Expt</w:t>
      </w:r>
      <w:proofErr w:type="spellEnd"/>
      <w:r w:rsidRPr="008E64AF">
        <w:rPr>
          <w:i/>
          <w:iCs/>
          <w:color w:val="4472C4" w:themeColor="accent1"/>
          <w:sz w:val="22"/>
          <w:szCs w:val="22"/>
        </w:rPr>
        <w:t xml:space="preserve"> 2 seems inconsistent, because simple training in emitting the "optimal" </w:t>
      </w:r>
      <w:proofErr w:type="spellStart"/>
      <w:r w:rsidRPr="008E64AF">
        <w:rPr>
          <w:i/>
          <w:iCs/>
          <w:color w:val="4472C4" w:themeColor="accent1"/>
          <w:sz w:val="22"/>
          <w:szCs w:val="22"/>
        </w:rPr>
        <w:t>behavior</w:t>
      </w:r>
      <w:proofErr w:type="spellEnd"/>
      <w:r w:rsidRPr="008E64AF">
        <w:rPr>
          <w:i/>
          <w:iCs/>
          <w:color w:val="4472C4" w:themeColor="accent1"/>
          <w:sz w:val="22"/>
          <w:szCs w:val="22"/>
        </w:rPr>
        <w:t xml:space="preserve"> does not provide feedback with the type of informative contingency that enables RL, by distinguishing between good and bad decisions. Put another way, if I have been directed to the optimal position on every trial, how do I know that other positions are worse?</w:t>
      </w:r>
    </w:p>
    <w:p w14:paraId="49288734" w14:textId="77777777" w:rsidR="00DA6F63" w:rsidRDefault="00DA6F63">
      <w:pPr>
        <w:rPr>
          <w:i/>
          <w:iCs/>
          <w:sz w:val="22"/>
          <w:szCs w:val="22"/>
        </w:rPr>
      </w:pPr>
    </w:p>
    <w:p w14:paraId="40742F99" w14:textId="63E87FD4" w:rsidR="00B42BC6" w:rsidRDefault="00DA6F63">
      <w:pPr>
        <w:rPr>
          <w:sz w:val="22"/>
          <w:szCs w:val="22"/>
        </w:rPr>
      </w:pPr>
      <w:r>
        <w:rPr>
          <w:sz w:val="22"/>
          <w:szCs w:val="22"/>
        </w:rPr>
        <w:t>I think our theoretical message may have been muddled somewhat by the addition of the reverse hierarchy model from perceptual learning. This was the weakest of three points supporting our expectation that performing the reaching task would improve choices in the throwing task (which in the end, it did not). We have scaled this back in the revised version of the paper, as it was not a strong point and bringing in perceptual learning was confusing, as we are not really manipulating or measuring learning in that sense.</w:t>
      </w:r>
      <w:r w:rsidR="000007F7" w:rsidRPr="00B42BC6">
        <w:rPr>
          <w:i/>
          <w:iCs/>
          <w:sz w:val="22"/>
          <w:szCs w:val="22"/>
        </w:rPr>
        <w:br/>
      </w:r>
    </w:p>
    <w:p w14:paraId="6C455311" w14:textId="77777777" w:rsidR="00DA6F63" w:rsidRPr="008E64AF" w:rsidRDefault="000007F7" w:rsidP="00C662AF">
      <w:pPr>
        <w:rPr>
          <w:i/>
          <w:iCs/>
          <w:color w:val="4472C4" w:themeColor="accent1"/>
          <w:sz w:val="22"/>
          <w:szCs w:val="22"/>
        </w:rPr>
      </w:pPr>
      <w:r w:rsidRPr="008E64AF">
        <w:rPr>
          <w:i/>
          <w:iCs/>
          <w:color w:val="4472C4" w:themeColor="accent1"/>
          <w:sz w:val="22"/>
          <w:szCs w:val="22"/>
        </w:rPr>
        <w:t xml:space="preserve">Rather, that </w:t>
      </w:r>
      <w:proofErr w:type="spellStart"/>
      <w:r w:rsidRPr="008E64AF">
        <w:rPr>
          <w:i/>
          <w:iCs/>
          <w:color w:val="4472C4" w:themeColor="accent1"/>
          <w:sz w:val="22"/>
          <w:szCs w:val="22"/>
        </w:rPr>
        <w:t>Expt</w:t>
      </w:r>
      <w:proofErr w:type="spellEnd"/>
      <w:r w:rsidRPr="008E64AF">
        <w:rPr>
          <w:i/>
          <w:iCs/>
          <w:color w:val="4472C4" w:themeColor="accent1"/>
          <w:sz w:val="22"/>
          <w:szCs w:val="22"/>
        </w:rPr>
        <w:t xml:space="preserve"> 2 manipulation seems to have been based on the idea that simple </w:t>
      </w:r>
      <w:proofErr w:type="spellStart"/>
      <w:r w:rsidRPr="008E64AF">
        <w:rPr>
          <w:i/>
          <w:iCs/>
          <w:color w:val="4472C4" w:themeColor="accent1"/>
          <w:sz w:val="22"/>
          <w:szCs w:val="22"/>
        </w:rPr>
        <w:t>behavioral</w:t>
      </w:r>
      <w:proofErr w:type="spellEnd"/>
      <w:r w:rsidRPr="008E64AF">
        <w:rPr>
          <w:i/>
          <w:iCs/>
          <w:color w:val="4472C4" w:themeColor="accent1"/>
          <w:sz w:val="22"/>
          <w:szCs w:val="22"/>
        </w:rPr>
        <w:t xml:space="preserve"> guidance might enable insight or generalization in some tasks (Grant and Spivey, 2003; Thomas &amp; </w:t>
      </w:r>
      <w:proofErr w:type="spellStart"/>
      <w:r w:rsidRPr="008E64AF">
        <w:rPr>
          <w:i/>
          <w:iCs/>
          <w:color w:val="4472C4" w:themeColor="accent1"/>
          <w:sz w:val="22"/>
          <w:szCs w:val="22"/>
        </w:rPr>
        <w:t>Lleras</w:t>
      </w:r>
      <w:proofErr w:type="spellEnd"/>
      <w:r w:rsidRPr="008E64AF">
        <w:rPr>
          <w:i/>
          <w:iCs/>
          <w:color w:val="4472C4" w:themeColor="accent1"/>
          <w:sz w:val="22"/>
          <w:szCs w:val="22"/>
        </w:rPr>
        <w:t>, 2008). One question is: Why should this happen? I could see a embodied cognition argument being constructed here, but possible mechanisms behind this effect is not discussed.</w:t>
      </w:r>
    </w:p>
    <w:p w14:paraId="5AAED3E3" w14:textId="77777777" w:rsidR="00DA6F63" w:rsidRPr="008E64AF" w:rsidRDefault="00DA6F63" w:rsidP="00C662AF">
      <w:pPr>
        <w:rPr>
          <w:i/>
          <w:iCs/>
          <w:color w:val="4472C4" w:themeColor="accent1"/>
          <w:sz w:val="22"/>
          <w:szCs w:val="22"/>
        </w:rPr>
      </w:pPr>
    </w:p>
    <w:p w14:paraId="3A1A45A0" w14:textId="73ACABE7" w:rsidR="00C662AF" w:rsidRDefault="00DA6F63" w:rsidP="00C662AF">
      <w:pPr>
        <w:rPr>
          <w:sz w:val="22"/>
          <w:szCs w:val="22"/>
        </w:rPr>
      </w:pPr>
      <w:r>
        <w:rPr>
          <w:sz w:val="22"/>
          <w:szCs w:val="22"/>
        </w:rPr>
        <w:t xml:space="preserve">We bring this literature up in the introduction to experiment 2, but again, because we did not ultimately observe any generalization from physically performing the strategy, we do not dwell too much on possible mechanisms of how embodiment might lead to insight. </w:t>
      </w:r>
      <w:r w:rsidR="000007F7" w:rsidRPr="00C662AF">
        <w:rPr>
          <w:i/>
          <w:iCs/>
          <w:sz w:val="22"/>
          <w:szCs w:val="22"/>
        </w:rPr>
        <w:br/>
      </w:r>
      <w:r w:rsidR="000007F7">
        <w:rPr>
          <w:sz w:val="22"/>
          <w:szCs w:val="22"/>
        </w:rPr>
        <w:br/>
      </w:r>
      <w:r w:rsidR="000007F7" w:rsidRPr="008E64AF">
        <w:rPr>
          <w:i/>
          <w:iCs/>
          <w:color w:val="4472C4" w:themeColor="accent1"/>
          <w:sz w:val="22"/>
          <w:szCs w:val="22"/>
        </w:rPr>
        <w:t xml:space="preserve">This evokes another question: do the participants even view the task as an insight problem (as the authors seem to)  that requires an abstract generalization? If not, then they may not be motivated to find one, and without such an explicit generalization it's not clear to me that optimal </w:t>
      </w:r>
      <w:proofErr w:type="spellStart"/>
      <w:r w:rsidR="000007F7" w:rsidRPr="008E64AF">
        <w:rPr>
          <w:i/>
          <w:iCs/>
          <w:color w:val="4472C4" w:themeColor="accent1"/>
          <w:sz w:val="22"/>
          <w:szCs w:val="22"/>
        </w:rPr>
        <w:t>behavior</w:t>
      </w:r>
      <w:proofErr w:type="spellEnd"/>
      <w:r w:rsidR="000007F7" w:rsidRPr="008E64AF">
        <w:rPr>
          <w:i/>
          <w:iCs/>
          <w:color w:val="4472C4" w:themeColor="accent1"/>
          <w:sz w:val="22"/>
          <w:szCs w:val="22"/>
        </w:rPr>
        <w:t xml:space="preserve"> should generalize. Indeed, participants may view Study 2 as merely a study of visual perception, and not be particularly motivated to improve their performance.  In sum, the authors pose their study as investigating conditions for transfer of learning, but I feel the learning itself has not been sufficiently established to make the answer to the transfer question compelling.</w:t>
      </w:r>
      <w:r w:rsidR="000007F7" w:rsidRPr="008E64AF">
        <w:rPr>
          <w:i/>
          <w:iCs/>
          <w:color w:val="4472C4" w:themeColor="accent1"/>
          <w:sz w:val="22"/>
          <w:szCs w:val="22"/>
        </w:rPr>
        <w:br/>
      </w:r>
      <w:r w:rsidR="000007F7" w:rsidRPr="008E64AF">
        <w:rPr>
          <w:i/>
          <w:iCs/>
          <w:color w:val="4472C4" w:themeColor="accent1"/>
          <w:sz w:val="22"/>
          <w:szCs w:val="22"/>
        </w:rPr>
        <w:br/>
        <w:t>To summarize, the paper is clearly written, and thought-provoking, but its theoretical import is unclear (or at least debatable).</w:t>
      </w:r>
      <w:r w:rsidR="000007F7" w:rsidRPr="008E64AF">
        <w:rPr>
          <w:i/>
          <w:iCs/>
          <w:color w:val="4472C4" w:themeColor="accent1"/>
          <w:sz w:val="22"/>
          <w:szCs w:val="22"/>
        </w:rPr>
        <w:br/>
      </w:r>
      <w:r w:rsidR="000007F7">
        <w:rPr>
          <w:sz w:val="22"/>
          <w:szCs w:val="22"/>
        </w:rPr>
        <w:br/>
      </w:r>
      <w:r>
        <w:rPr>
          <w:sz w:val="22"/>
          <w:szCs w:val="22"/>
        </w:rPr>
        <w:t xml:space="preserve">I think the reviewer is nicely articulating a central question of our research here – are participants </w:t>
      </w:r>
      <w:r w:rsidR="00E16EF6">
        <w:rPr>
          <w:sz w:val="22"/>
          <w:szCs w:val="22"/>
        </w:rPr>
        <w:t>even looking for</w:t>
      </w:r>
      <w:r>
        <w:rPr>
          <w:sz w:val="22"/>
          <w:szCs w:val="22"/>
        </w:rPr>
        <w:t xml:space="preserve"> a rule to follow? We have made </w:t>
      </w:r>
      <w:r w:rsidR="00C662AF">
        <w:rPr>
          <w:sz w:val="22"/>
          <w:szCs w:val="22"/>
        </w:rPr>
        <w:t xml:space="preserve">a decision rule available to participants that is easy to understand </w:t>
      </w:r>
      <w:r>
        <w:rPr>
          <w:sz w:val="22"/>
          <w:szCs w:val="22"/>
        </w:rPr>
        <w:t>and follow, and</w:t>
      </w:r>
      <w:r w:rsidR="00C662AF">
        <w:rPr>
          <w:sz w:val="22"/>
          <w:szCs w:val="22"/>
        </w:rPr>
        <w:t xml:space="preserve"> </w:t>
      </w:r>
      <w:r w:rsidR="00E16EF6">
        <w:rPr>
          <w:sz w:val="22"/>
          <w:szCs w:val="22"/>
        </w:rPr>
        <w:t xml:space="preserve">will </w:t>
      </w:r>
      <w:r w:rsidR="00C662AF">
        <w:rPr>
          <w:sz w:val="22"/>
          <w:szCs w:val="22"/>
        </w:rPr>
        <w:t>boost performance considerably</w:t>
      </w:r>
      <w:r>
        <w:rPr>
          <w:sz w:val="22"/>
          <w:szCs w:val="22"/>
        </w:rPr>
        <w:t xml:space="preserve">. We get them to actively engage in using it, and then we set them loose on the task in which they can apply it. They </w:t>
      </w:r>
      <w:r w:rsidR="00E16EF6">
        <w:rPr>
          <w:sz w:val="22"/>
          <w:szCs w:val="22"/>
        </w:rPr>
        <w:t xml:space="preserve">simply </w:t>
      </w:r>
      <w:r>
        <w:rPr>
          <w:sz w:val="22"/>
          <w:szCs w:val="22"/>
        </w:rPr>
        <w:t xml:space="preserve">do not apply it. </w:t>
      </w:r>
      <w:r w:rsidR="00C662AF">
        <w:rPr>
          <w:sz w:val="22"/>
          <w:szCs w:val="22"/>
        </w:rPr>
        <w:t xml:space="preserve">To be clear, we </w:t>
      </w:r>
      <w:r>
        <w:rPr>
          <w:sz w:val="22"/>
          <w:szCs w:val="22"/>
        </w:rPr>
        <w:t>are not suggesting</w:t>
      </w:r>
      <w:r w:rsidR="00C662AF">
        <w:rPr>
          <w:sz w:val="22"/>
          <w:szCs w:val="22"/>
        </w:rPr>
        <w:t xml:space="preserve"> people are recognising the rule and </w:t>
      </w:r>
      <w:r>
        <w:rPr>
          <w:sz w:val="22"/>
          <w:szCs w:val="22"/>
        </w:rPr>
        <w:t xml:space="preserve">deliberately </w:t>
      </w:r>
      <w:r w:rsidR="00C662AF">
        <w:rPr>
          <w:sz w:val="22"/>
          <w:szCs w:val="22"/>
        </w:rPr>
        <w:t>deciding not to use it</w:t>
      </w:r>
      <w:r>
        <w:rPr>
          <w:sz w:val="22"/>
          <w:szCs w:val="22"/>
        </w:rPr>
        <w:t xml:space="preserve">. Instead, </w:t>
      </w:r>
      <w:r w:rsidR="00C662AF">
        <w:rPr>
          <w:sz w:val="22"/>
          <w:szCs w:val="22"/>
        </w:rPr>
        <w:t xml:space="preserve">we </w:t>
      </w:r>
      <w:r>
        <w:rPr>
          <w:sz w:val="22"/>
          <w:szCs w:val="22"/>
        </w:rPr>
        <w:t>think they are just content with their trial-and-error strategy and not looking for a rule. Our speculation is that this is because a trial-and-error strategy might be sub-optimal in the short term, but over longer and more general horizons, it has benefits that following rules do not.</w:t>
      </w:r>
      <w:r w:rsidR="00E16EF6">
        <w:rPr>
          <w:sz w:val="22"/>
          <w:szCs w:val="22"/>
        </w:rPr>
        <w:t xml:space="preserve"> We have ruled out a lack of motivation to improve performance in another paper (James et al., 2019). </w:t>
      </w:r>
    </w:p>
    <w:p w14:paraId="72C0F93E" w14:textId="77777777" w:rsidR="00DA6F63" w:rsidRDefault="00DA6F63" w:rsidP="00C662AF">
      <w:pPr>
        <w:rPr>
          <w:sz w:val="22"/>
          <w:szCs w:val="22"/>
        </w:rPr>
      </w:pPr>
    </w:p>
    <w:p w14:paraId="1CEDE5DE" w14:textId="392C4DAD" w:rsidR="00C662AF" w:rsidRDefault="00DA6F63" w:rsidP="00C662AF">
      <w:pPr>
        <w:rPr>
          <w:sz w:val="22"/>
          <w:szCs w:val="22"/>
        </w:rPr>
      </w:pPr>
      <w:r>
        <w:rPr>
          <w:sz w:val="22"/>
          <w:szCs w:val="22"/>
        </w:rPr>
        <w:lastRenderedPageBreak/>
        <w:t xml:space="preserve">We did not mean to present the research as investigating the conditions for transfer of learning. To avoid this misunderstanding, we have pulled back on using the word “transfer” </w:t>
      </w:r>
      <w:r w:rsidR="008E64AF">
        <w:rPr>
          <w:sz w:val="22"/>
          <w:szCs w:val="22"/>
        </w:rPr>
        <w:t>(</w:t>
      </w:r>
      <w:r>
        <w:rPr>
          <w:sz w:val="22"/>
          <w:szCs w:val="22"/>
        </w:rPr>
        <w:t>except in the context of analogical transfer</w:t>
      </w:r>
      <w:r w:rsidR="008E64AF">
        <w:rPr>
          <w:sz w:val="22"/>
          <w:szCs w:val="22"/>
        </w:rPr>
        <w:t>)</w:t>
      </w:r>
      <w:r>
        <w:rPr>
          <w:sz w:val="22"/>
          <w:szCs w:val="22"/>
        </w:rPr>
        <w:t>.</w:t>
      </w:r>
      <w:r w:rsidR="008E64AF">
        <w:rPr>
          <w:sz w:val="22"/>
          <w:szCs w:val="22"/>
        </w:rPr>
        <w:t xml:space="preserve"> </w:t>
      </w:r>
      <w:r w:rsidR="00C662AF">
        <w:rPr>
          <w:sz w:val="22"/>
          <w:szCs w:val="22"/>
        </w:rPr>
        <w:t xml:space="preserve">We have </w:t>
      </w:r>
      <w:r w:rsidR="008E64AF">
        <w:rPr>
          <w:sz w:val="22"/>
          <w:szCs w:val="22"/>
        </w:rPr>
        <w:t xml:space="preserve">also </w:t>
      </w:r>
      <w:r w:rsidR="00C662AF">
        <w:rPr>
          <w:sz w:val="22"/>
          <w:szCs w:val="22"/>
        </w:rPr>
        <w:t xml:space="preserve">removed the phase “default mode” throughout the paper (and title). </w:t>
      </w:r>
    </w:p>
    <w:p w14:paraId="08CB8821" w14:textId="036F5119" w:rsidR="00BF3033" w:rsidRDefault="000007F7">
      <w:r>
        <w:rPr>
          <w:sz w:val="22"/>
          <w:szCs w:val="22"/>
        </w:rPr>
        <w:br/>
      </w:r>
    </w:p>
    <w:sectPr w:rsidR="00BF3033" w:rsidSect="004E04FC">
      <w:pgSz w:w="11906" w:h="16838"/>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F7"/>
    <w:rsid w:val="000007F7"/>
    <w:rsid w:val="002064FB"/>
    <w:rsid w:val="002A5D23"/>
    <w:rsid w:val="00307B3A"/>
    <w:rsid w:val="003A711D"/>
    <w:rsid w:val="00451E3A"/>
    <w:rsid w:val="004E04FC"/>
    <w:rsid w:val="00552211"/>
    <w:rsid w:val="0060251D"/>
    <w:rsid w:val="006144F1"/>
    <w:rsid w:val="006C07B5"/>
    <w:rsid w:val="006C5812"/>
    <w:rsid w:val="008E64AF"/>
    <w:rsid w:val="00B42BC6"/>
    <w:rsid w:val="00BE0335"/>
    <w:rsid w:val="00BF3033"/>
    <w:rsid w:val="00C1751C"/>
    <w:rsid w:val="00C32E2D"/>
    <w:rsid w:val="00C662AF"/>
    <w:rsid w:val="00D76AD1"/>
    <w:rsid w:val="00DA6F63"/>
    <w:rsid w:val="00DA7C69"/>
    <w:rsid w:val="00DE5CD6"/>
    <w:rsid w:val="00E16EF6"/>
    <w:rsid w:val="00F13B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91F30B"/>
  <w15:chartTrackingRefBased/>
  <w15:docId w15:val="{CF2D5708-576C-C84B-95F0-3E688AFD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07F7"/>
    <w:rPr>
      <w:color w:val="0000FF"/>
      <w:u w:val="single"/>
    </w:rPr>
  </w:style>
  <w:style w:type="character" w:styleId="FollowedHyperlink">
    <w:name w:val="FollowedHyperlink"/>
    <w:basedOn w:val="DefaultParagraphFont"/>
    <w:uiPriority w:val="99"/>
    <w:semiHidden/>
    <w:unhideWhenUsed/>
    <w:rsid w:val="00DE5C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Amelia</dc:creator>
  <cp:keywords/>
  <dc:description/>
  <cp:lastModifiedBy>Hunt, Amelia</cp:lastModifiedBy>
  <cp:revision>10</cp:revision>
  <dcterms:created xsi:type="dcterms:W3CDTF">2026-05-26T15:42:00Z</dcterms:created>
  <dcterms:modified xsi:type="dcterms:W3CDTF">2026-06-04T09:03:00Z</dcterms:modified>
</cp:coreProperties>
</file>