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A2D59" w14:textId="77777777" w:rsidR="00E90E3D" w:rsidRPr="00E90E3D" w:rsidRDefault="00E90E3D" w:rsidP="00E90E3D">
      <w:pPr>
        <w:pStyle w:val="Title"/>
        <w:jc w:val="center"/>
        <w:rPr>
          <w:sz w:val="36"/>
          <w:szCs w:val="36"/>
        </w:rPr>
      </w:pPr>
      <w:r w:rsidRPr="00E90E3D">
        <w:rPr>
          <w:sz w:val="36"/>
          <w:szCs w:val="36"/>
        </w:rPr>
        <w:t>Supplementary information</w:t>
      </w:r>
    </w:p>
    <w:p w14:paraId="7A585322" w14:textId="77777777" w:rsidR="00E90E3D" w:rsidRDefault="00E90E3D" w:rsidP="00E90E3D">
      <w:pPr>
        <w:jc w:val="center"/>
        <w:rPr>
          <w:sz w:val="20"/>
          <w:szCs w:val="20"/>
        </w:rPr>
      </w:pPr>
    </w:p>
    <w:p w14:paraId="0F252BFC" w14:textId="11A79134" w:rsidR="00E90E3D" w:rsidRDefault="00E90E3D" w:rsidP="00E90E3D">
      <w:pPr>
        <w:jc w:val="center"/>
        <w:rPr>
          <w:sz w:val="20"/>
          <w:szCs w:val="20"/>
        </w:rPr>
      </w:pPr>
      <w:r>
        <w:rPr>
          <w:sz w:val="20"/>
          <w:szCs w:val="20"/>
        </w:rPr>
        <w:t>For: Variable and sub-optimal responses to a choice problem are a persistent default mode</w:t>
      </w:r>
    </w:p>
    <w:p w14:paraId="0A3DA444" w14:textId="77777777" w:rsidR="00E90E3D" w:rsidRDefault="00E90E3D" w:rsidP="00E90E3D">
      <w:pPr>
        <w:jc w:val="center"/>
        <w:rPr>
          <w:sz w:val="20"/>
          <w:szCs w:val="20"/>
        </w:rPr>
      </w:pPr>
    </w:p>
    <w:p w14:paraId="3FE757B2" w14:textId="3BCCE93C" w:rsidR="00E90E3D" w:rsidRDefault="00E90E3D" w:rsidP="00E90E3D">
      <w:pPr>
        <w:jc w:val="center"/>
        <w:rPr>
          <w:sz w:val="20"/>
          <w:szCs w:val="20"/>
          <w:vertAlign w:val="superscript"/>
        </w:rPr>
      </w:pPr>
      <w:r>
        <w:rPr>
          <w:sz w:val="20"/>
          <w:szCs w:val="20"/>
        </w:rPr>
        <w:t>Amelia R. Hunt</w:t>
      </w:r>
      <w:r>
        <w:rPr>
          <w:sz w:val="20"/>
          <w:szCs w:val="20"/>
          <w:vertAlign w:val="superscript"/>
        </w:rPr>
        <w:t>1</w:t>
      </w:r>
      <w:r>
        <w:rPr>
          <w:sz w:val="20"/>
          <w:szCs w:val="20"/>
        </w:rPr>
        <w:t>, Warren R.G. James</w:t>
      </w:r>
      <w:r>
        <w:rPr>
          <w:sz w:val="20"/>
          <w:szCs w:val="20"/>
          <w:vertAlign w:val="superscript"/>
        </w:rPr>
        <w:t>1</w:t>
      </w:r>
      <w:r>
        <w:rPr>
          <w:sz w:val="20"/>
          <w:szCs w:val="20"/>
        </w:rPr>
        <w:t>, Josephine Reuther</w:t>
      </w:r>
      <w:r>
        <w:rPr>
          <w:sz w:val="20"/>
          <w:szCs w:val="20"/>
          <w:vertAlign w:val="superscript"/>
        </w:rPr>
        <w:t>2</w:t>
      </w:r>
      <w:r>
        <w:rPr>
          <w:sz w:val="20"/>
          <w:szCs w:val="20"/>
        </w:rPr>
        <w:t>, Melissa Spilioti</w:t>
      </w:r>
      <w:r>
        <w:rPr>
          <w:sz w:val="20"/>
          <w:szCs w:val="20"/>
          <w:vertAlign w:val="superscript"/>
        </w:rPr>
        <w:t>1</w:t>
      </w:r>
      <w:r w:rsidR="004B6BDA">
        <w:rPr>
          <w:sz w:val="20"/>
          <w:szCs w:val="20"/>
        </w:rPr>
        <w:t xml:space="preserve"> &amp;</w:t>
      </w:r>
      <w:r>
        <w:rPr>
          <w:sz w:val="20"/>
          <w:szCs w:val="20"/>
        </w:rPr>
        <w:t xml:space="preserve"> Alasdair D.F. Clarke</w:t>
      </w:r>
      <w:r>
        <w:rPr>
          <w:sz w:val="20"/>
          <w:szCs w:val="20"/>
          <w:vertAlign w:val="superscript"/>
        </w:rPr>
        <w:t>3</w:t>
      </w:r>
    </w:p>
    <w:p w14:paraId="25F693A5" w14:textId="77777777" w:rsidR="00547BFD" w:rsidRDefault="00547BFD" w:rsidP="00547BFD">
      <w:pPr>
        <w:rPr>
          <w:sz w:val="20"/>
          <w:szCs w:val="20"/>
        </w:rPr>
      </w:pPr>
    </w:p>
    <w:p w14:paraId="7D661C8C" w14:textId="3ECEE2DC" w:rsidR="00547BFD" w:rsidRDefault="00547BFD" w:rsidP="00112B05">
      <w:pPr>
        <w:rPr>
          <w:sz w:val="20"/>
          <w:szCs w:val="20"/>
        </w:rPr>
      </w:pPr>
      <w:bookmarkStart w:id="0" w:name="_qxe2vrk2wo4y" w:colFirst="0" w:colLast="0"/>
      <w:bookmarkEnd w:id="0"/>
      <w:r>
        <w:rPr>
          <w:sz w:val="20"/>
          <w:szCs w:val="20"/>
        </w:rPr>
        <w:t>Contains</w:t>
      </w:r>
      <w:r w:rsidR="00112B05">
        <w:rPr>
          <w:sz w:val="20"/>
          <w:szCs w:val="20"/>
        </w:rPr>
        <w:t xml:space="preserve"> </w:t>
      </w:r>
      <w:r w:rsidR="00E90E3D">
        <w:rPr>
          <w:sz w:val="20"/>
          <w:szCs w:val="20"/>
        </w:rPr>
        <w:t>A</w:t>
      </w:r>
      <w:r>
        <w:rPr>
          <w:sz w:val="20"/>
          <w:szCs w:val="20"/>
        </w:rPr>
        <w:t>dditional plots and analysis</w:t>
      </w:r>
    </w:p>
    <w:p w14:paraId="3F3C47B7" w14:textId="77777777" w:rsidR="00547BFD" w:rsidRDefault="00547BFD" w:rsidP="00547BFD">
      <w:pPr>
        <w:rPr>
          <w:sz w:val="20"/>
          <w:szCs w:val="20"/>
        </w:rPr>
      </w:pPr>
      <w:bookmarkStart w:id="1" w:name="_xymkvh5s8u04" w:colFirst="0" w:colLast="0"/>
      <w:bookmarkEnd w:id="1"/>
    </w:p>
    <w:p w14:paraId="432CFC06" w14:textId="77777777" w:rsidR="00547BFD" w:rsidRDefault="00547BFD" w:rsidP="00547BFD">
      <w:pPr>
        <w:spacing w:line="240" w:lineRule="auto"/>
        <w:jc w:val="both"/>
        <w:rPr>
          <w:sz w:val="20"/>
          <w:szCs w:val="20"/>
        </w:rPr>
      </w:pPr>
      <w:bookmarkStart w:id="2" w:name="_j49remg7zlrx" w:colFirst="0" w:colLast="0"/>
      <w:bookmarkEnd w:id="2"/>
    </w:p>
    <w:p w14:paraId="2FCD56CF" w14:textId="77777777" w:rsidR="00547BFD" w:rsidRDefault="00547BFD" w:rsidP="00547BFD">
      <w:pPr>
        <w:spacing w:line="240" w:lineRule="auto"/>
        <w:jc w:val="both"/>
        <w:rPr>
          <w:sz w:val="20"/>
          <w:szCs w:val="20"/>
        </w:rPr>
      </w:pPr>
    </w:p>
    <w:p w14:paraId="73881ADD" w14:textId="77777777" w:rsidR="00547BFD" w:rsidRDefault="00547BFD" w:rsidP="00547BFD">
      <w:pPr>
        <w:spacing w:line="240" w:lineRule="auto"/>
        <w:jc w:val="both"/>
        <w:rPr>
          <w:sz w:val="20"/>
          <w:szCs w:val="20"/>
        </w:rPr>
      </w:pPr>
      <w:r>
        <w:rPr>
          <w:noProof/>
          <w:sz w:val="20"/>
          <w:szCs w:val="20"/>
        </w:rPr>
        <w:drawing>
          <wp:inline distT="114300" distB="114300" distL="114300" distR="114300" wp14:anchorId="01948494" wp14:editId="39AEE0C8">
            <wp:extent cx="5943600" cy="2971800"/>
            <wp:effectExtent l="0" t="0" r="0" b="0"/>
            <wp:docPr id="11" name="image14.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11" name="image14.png" descr="Calendar&#10;&#10;Description automatically generated"/>
                    <pic:cNvPicPr preferRelativeResize="0"/>
                  </pic:nvPicPr>
                  <pic:blipFill>
                    <a:blip r:embed="rId5"/>
                    <a:srcRect/>
                    <a:stretch>
                      <a:fillRect/>
                    </a:stretch>
                  </pic:blipFill>
                  <pic:spPr>
                    <a:xfrm>
                      <a:off x="0" y="0"/>
                      <a:ext cx="5943600" cy="2971800"/>
                    </a:xfrm>
                    <a:prstGeom prst="rect">
                      <a:avLst/>
                    </a:prstGeom>
                    <a:ln/>
                  </pic:spPr>
                </pic:pic>
              </a:graphicData>
            </a:graphic>
          </wp:inline>
        </w:drawing>
      </w:r>
    </w:p>
    <w:p w14:paraId="477B7E0E" w14:textId="516FA900" w:rsidR="00547BFD" w:rsidRDefault="00547BFD" w:rsidP="00547BFD">
      <w:pPr>
        <w:spacing w:line="240" w:lineRule="auto"/>
        <w:jc w:val="both"/>
        <w:rPr>
          <w:rFonts w:ascii="Nunito" w:eastAsia="Nunito" w:hAnsi="Nunito" w:cs="Nunito"/>
          <w:sz w:val="20"/>
          <w:szCs w:val="20"/>
        </w:rPr>
      </w:pPr>
      <w:r>
        <w:rPr>
          <w:rFonts w:ascii="Nunito" w:eastAsia="Nunito" w:hAnsi="Nunito" w:cs="Nunito"/>
          <w:sz w:val="20"/>
          <w:szCs w:val="20"/>
        </w:rPr>
        <w:t>Figure S.1.1. Normalized standing position for each of three distances between hoops</w:t>
      </w:r>
      <w:r w:rsidR="00112B05">
        <w:rPr>
          <w:rFonts w:ascii="Nunito" w:eastAsia="Nunito" w:hAnsi="Nunito" w:cs="Nunito"/>
          <w:sz w:val="20"/>
          <w:szCs w:val="20"/>
        </w:rPr>
        <w:t xml:space="preserve"> in E1B</w:t>
      </w:r>
      <w:r>
        <w:rPr>
          <w:rFonts w:ascii="Nunito" w:eastAsia="Nunito" w:hAnsi="Nunito" w:cs="Nunito"/>
          <w:sz w:val="20"/>
          <w:szCs w:val="20"/>
        </w:rPr>
        <w:t xml:space="preserve">. Each dot represents one trial and each panel is a participant. The throwing task was preceded by the reaching/table task, a relevant logic puzzle, or math questions.  Which task the participant performed is denoted by the dot color. </w:t>
      </w:r>
    </w:p>
    <w:p w14:paraId="679FBCF8" w14:textId="77777777" w:rsidR="00547BFD" w:rsidRDefault="00547BFD" w:rsidP="00547BFD">
      <w:pPr>
        <w:spacing w:line="240" w:lineRule="auto"/>
        <w:jc w:val="both"/>
        <w:rPr>
          <w:sz w:val="20"/>
          <w:szCs w:val="20"/>
        </w:rPr>
      </w:pPr>
    </w:p>
    <w:p w14:paraId="762166C8" w14:textId="77777777" w:rsidR="00547BFD" w:rsidRDefault="00547BFD" w:rsidP="00547BFD">
      <w:pPr>
        <w:spacing w:line="240" w:lineRule="auto"/>
        <w:jc w:val="both"/>
        <w:rPr>
          <w:sz w:val="20"/>
          <w:szCs w:val="20"/>
        </w:rPr>
      </w:pPr>
      <w:r>
        <w:rPr>
          <w:sz w:val="20"/>
          <w:szCs w:val="20"/>
        </w:rPr>
        <w:t>Accuracy across the three groups is shown in Figure S.1.2. The table group is more variable, but the means are overall very similar across the three groups, suggesting the experience of doing the table task or the logic puzzles did not lead to better decisions in the throwing task.</w:t>
      </w:r>
    </w:p>
    <w:p w14:paraId="7A710E0C" w14:textId="77777777" w:rsidR="00547BFD" w:rsidRDefault="00547BFD" w:rsidP="00547BFD">
      <w:pPr>
        <w:pStyle w:val="Heading3"/>
        <w:spacing w:after="160" w:line="360" w:lineRule="auto"/>
      </w:pPr>
      <w:bookmarkStart w:id="3" w:name="_2el3d06lxj2h" w:colFirst="0" w:colLast="0"/>
      <w:bookmarkEnd w:id="3"/>
      <w:r>
        <w:rPr>
          <w:noProof/>
        </w:rPr>
        <w:lastRenderedPageBreak/>
        <w:drawing>
          <wp:inline distT="114300" distB="114300" distL="114300" distR="114300" wp14:anchorId="04F22949" wp14:editId="59267F2E">
            <wp:extent cx="3100388" cy="2322388"/>
            <wp:effectExtent l="0" t="0" r="0" b="0"/>
            <wp:docPr id="10" name="image6.png" descr="Chart, box and whisker chart&#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6.png" descr="Chart, box and whisker chart&#10;&#10;Description automatically generated"/>
                    <pic:cNvPicPr preferRelativeResize="0"/>
                  </pic:nvPicPr>
                  <pic:blipFill>
                    <a:blip r:embed="rId6"/>
                    <a:srcRect/>
                    <a:stretch>
                      <a:fillRect/>
                    </a:stretch>
                  </pic:blipFill>
                  <pic:spPr>
                    <a:xfrm>
                      <a:off x="0" y="0"/>
                      <a:ext cx="3100388" cy="2322388"/>
                    </a:xfrm>
                    <a:prstGeom prst="rect">
                      <a:avLst/>
                    </a:prstGeom>
                    <a:ln/>
                  </pic:spPr>
                </pic:pic>
              </a:graphicData>
            </a:graphic>
          </wp:inline>
        </w:drawing>
      </w:r>
    </w:p>
    <w:p w14:paraId="5E34EB40" w14:textId="77777777" w:rsidR="00547BFD" w:rsidRDefault="00547BFD" w:rsidP="00547BFD">
      <w:pPr>
        <w:rPr>
          <w:rFonts w:ascii="Nunito" w:eastAsia="Nunito" w:hAnsi="Nunito" w:cs="Nunito"/>
        </w:rPr>
      </w:pPr>
      <w:r>
        <w:rPr>
          <w:rFonts w:ascii="Nunito" w:eastAsia="Nunito" w:hAnsi="Nunito" w:cs="Nunito"/>
        </w:rPr>
        <w:t>Figure S.1.2. Boxplots showing throwing accuracy for each of the three groups of participants.</w:t>
      </w:r>
    </w:p>
    <w:p w14:paraId="2D66748D" w14:textId="77777777" w:rsidR="00112B05" w:rsidRDefault="00112B05" w:rsidP="00547BFD">
      <w:pPr>
        <w:rPr>
          <w:rFonts w:ascii="Nunito" w:eastAsia="Nunito" w:hAnsi="Nunito" w:cs="Nunito"/>
        </w:rPr>
      </w:pPr>
    </w:p>
    <w:p w14:paraId="5710D2B2" w14:textId="77777777" w:rsidR="00547BFD" w:rsidRDefault="00547BFD" w:rsidP="00547BFD">
      <w:pPr>
        <w:spacing w:after="160"/>
        <w:jc w:val="center"/>
        <w:rPr>
          <w:sz w:val="20"/>
          <w:szCs w:val="20"/>
        </w:rPr>
      </w:pPr>
      <w:bookmarkStart w:id="4" w:name="_a2y4s1l15ue8" w:colFirst="0" w:colLast="0"/>
      <w:bookmarkEnd w:id="4"/>
      <w:r>
        <w:rPr>
          <w:noProof/>
          <w:sz w:val="20"/>
          <w:szCs w:val="20"/>
        </w:rPr>
        <w:drawing>
          <wp:inline distT="114300" distB="114300" distL="114300" distR="114300" wp14:anchorId="34E9E140" wp14:editId="0B73306A">
            <wp:extent cx="4038600" cy="3352302"/>
            <wp:effectExtent l="0" t="0" r="0" b="0"/>
            <wp:docPr id="19" name="image11.png" descr="Chart, scatter chart&#10;&#10;Description automatically generated"/>
            <wp:cNvGraphicFramePr/>
            <a:graphic xmlns:a="http://schemas.openxmlformats.org/drawingml/2006/main">
              <a:graphicData uri="http://schemas.openxmlformats.org/drawingml/2006/picture">
                <pic:pic xmlns:pic="http://schemas.openxmlformats.org/drawingml/2006/picture">
                  <pic:nvPicPr>
                    <pic:cNvPr id="19" name="image11.png" descr="Chart, scatter chart&#10;&#10;Description automatically generated"/>
                    <pic:cNvPicPr preferRelativeResize="0"/>
                  </pic:nvPicPr>
                  <pic:blipFill>
                    <a:blip r:embed="rId7"/>
                    <a:srcRect t="431" b="431"/>
                    <a:stretch>
                      <a:fillRect/>
                    </a:stretch>
                  </pic:blipFill>
                  <pic:spPr>
                    <a:xfrm>
                      <a:off x="0" y="0"/>
                      <a:ext cx="4038600" cy="3352302"/>
                    </a:xfrm>
                    <a:prstGeom prst="rect">
                      <a:avLst/>
                    </a:prstGeom>
                    <a:ln/>
                  </pic:spPr>
                </pic:pic>
              </a:graphicData>
            </a:graphic>
          </wp:inline>
        </w:drawing>
      </w:r>
      <w:r>
        <w:rPr>
          <w:sz w:val="20"/>
          <w:szCs w:val="20"/>
        </w:rPr>
        <w:t xml:space="preserve"> </w:t>
      </w:r>
    </w:p>
    <w:p w14:paraId="3B6FD84C" w14:textId="1FD422FD" w:rsidR="00547BFD" w:rsidRDefault="00547BFD" w:rsidP="00547BFD">
      <w:pPr>
        <w:spacing w:after="160"/>
        <w:rPr>
          <w:rFonts w:ascii="Nunito" w:eastAsia="Nunito" w:hAnsi="Nunito" w:cs="Nunito"/>
          <w:sz w:val="20"/>
          <w:szCs w:val="20"/>
        </w:rPr>
      </w:pPr>
      <w:r>
        <w:rPr>
          <w:rFonts w:ascii="Nunito" w:eastAsia="Nunito" w:hAnsi="Nunito" w:cs="Nunito"/>
          <w:sz w:val="20"/>
          <w:szCs w:val="20"/>
        </w:rPr>
        <w:t xml:space="preserve">Figure S.2.1. Top row scatterplots show the actual accuracy relative to an estimate of optimal accuracy in the first and second session of Experiment </w:t>
      </w:r>
      <w:r w:rsidR="00112B05">
        <w:rPr>
          <w:rFonts w:ascii="Nunito" w:eastAsia="Nunito" w:hAnsi="Nunito" w:cs="Nunito"/>
          <w:sz w:val="20"/>
          <w:szCs w:val="20"/>
        </w:rPr>
        <w:t>1C</w:t>
      </w:r>
      <w:r>
        <w:rPr>
          <w:rFonts w:ascii="Nunito" w:eastAsia="Nunito" w:hAnsi="Nunito" w:cs="Nunito"/>
          <w:sz w:val="20"/>
          <w:szCs w:val="20"/>
        </w:rPr>
        <w:t>. The primed group did the table task between sessions. The bottom row line plot shows the average standing position across hoop separations during the second session. There is no difference between groups on either measure.</w:t>
      </w:r>
    </w:p>
    <w:p w14:paraId="4CC9A916" w14:textId="77777777" w:rsidR="00547BFD" w:rsidRDefault="00547BFD" w:rsidP="00547BFD">
      <w:pPr>
        <w:spacing w:after="160"/>
        <w:rPr>
          <w:rFonts w:ascii="Nunito" w:eastAsia="Nunito" w:hAnsi="Nunito" w:cs="Nunito"/>
          <w:sz w:val="20"/>
          <w:szCs w:val="20"/>
        </w:rPr>
      </w:pPr>
      <w:r>
        <w:br w:type="page"/>
      </w:r>
    </w:p>
    <w:p w14:paraId="6F6883C9" w14:textId="77777777" w:rsidR="00547BFD" w:rsidRDefault="00547BFD" w:rsidP="00547BFD">
      <w:pPr>
        <w:spacing w:after="160"/>
        <w:rPr>
          <w:rFonts w:ascii="Nunito" w:eastAsia="Nunito" w:hAnsi="Nunito" w:cs="Nunito"/>
          <w:sz w:val="20"/>
          <w:szCs w:val="20"/>
        </w:rPr>
      </w:pPr>
    </w:p>
    <w:p w14:paraId="3D78ED64" w14:textId="77777777" w:rsidR="00547BFD" w:rsidRDefault="00547BFD" w:rsidP="00547BFD">
      <w:bookmarkStart w:id="5" w:name="_3uures4t2v63" w:colFirst="0" w:colLast="0"/>
      <w:bookmarkEnd w:id="5"/>
      <w:r>
        <w:rPr>
          <w:noProof/>
        </w:rPr>
        <w:drawing>
          <wp:anchor distT="114300" distB="114300" distL="114300" distR="114300" simplePos="0" relativeHeight="251659264" behindDoc="0" locked="0" layoutInCell="1" hidden="0" allowOverlap="1" wp14:anchorId="5D151604" wp14:editId="0CFA8A8C">
            <wp:simplePos x="0" y="0"/>
            <wp:positionH relativeFrom="column">
              <wp:posOffset>1</wp:posOffset>
            </wp:positionH>
            <wp:positionV relativeFrom="paragraph">
              <wp:posOffset>285750</wp:posOffset>
            </wp:positionV>
            <wp:extent cx="3286181" cy="2462213"/>
            <wp:effectExtent l="0" t="0" r="0" b="0"/>
            <wp:wrapTopAndBottom distT="114300" distB="114300"/>
            <wp:docPr id="13" name="image18.png" descr="Chart, line chart&#10;&#10;Description automatically generated"/>
            <wp:cNvGraphicFramePr/>
            <a:graphic xmlns:a="http://schemas.openxmlformats.org/drawingml/2006/main">
              <a:graphicData uri="http://schemas.openxmlformats.org/drawingml/2006/picture">
                <pic:pic xmlns:pic="http://schemas.openxmlformats.org/drawingml/2006/picture">
                  <pic:nvPicPr>
                    <pic:cNvPr id="13" name="image18.png" descr="Chart, line chart&#10;&#10;Description automatically generated"/>
                    <pic:cNvPicPr preferRelativeResize="0"/>
                  </pic:nvPicPr>
                  <pic:blipFill>
                    <a:blip r:embed="rId8"/>
                    <a:srcRect/>
                    <a:stretch>
                      <a:fillRect/>
                    </a:stretch>
                  </pic:blipFill>
                  <pic:spPr>
                    <a:xfrm>
                      <a:off x="0" y="0"/>
                      <a:ext cx="3286181" cy="2462213"/>
                    </a:xfrm>
                    <a:prstGeom prst="rect">
                      <a:avLst/>
                    </a:prstGeom>
                    <a:ln/>
                  </pic:spPr>
                </pic:pic>
              </a:graphicData>
            </a:graphic>
          </wp:anchor>
        </w:drawing>
      </w:r>
    </w:p>
    <w:p w14:paraId="6337E6B3" w14:textId="79ABD4AB" w:rsidR="00547BFD" w:rsidRDefault="00547BFD" w:rsidP="00547BFD">
      <w:pPr>
        <w:rPr>
          <w:rFonts w:ascii="Nunito" w:eastAsia="Nunito" w:hAnsi="Nunito" w:cs="Nunito"/>
          <w:sz w:val="20"/>
          <w:szCs w:val="20"/>
        </w:rPr>
      </w:pPr>
      <w:r>
        <w:rPr>
          <w:rFonts w:ascii="Nunito" w:eastAsia="Nunito" w:hAnsi="Nunito" w:cs="Nunito"/>
          <w:sz w:val="20"/>
          <w:szCs w:val="20"/>
        </w:rPr>
        <w:t>Figure S.</w:t>
      </w:r>
      <w:r w:rsidR="00E90E3D">
        <w:rPr>
          <w:rFonts w:ascii="Nunito" w:eastAsia="Nunito" w:hAnsi="Nunito" w:cs="Nunito"/>
          <w:sz w:val="20"/>
          <w:szCs w:val="20"/>
        </w:rPr>
        <w:t>4</w:t>
      </w:r>
      <w:r>
        <w:rPr>
          <w:rFonts w:ascii="Nunito" w:eastAsia="Nunito" w:hAnsi="Nunito" w:cs="Nunito"/>
          <w:sz w:val="20"/>
          <w:szCs w:val="20"/>
        </w:rPr>
        <w:t xml:space="preserve">.1. Performance curves from the sensitivity mapping phase  for the 5 non-naive participants in Experiment </w:t>
      </w:r>
      <w:r w:rsidR="00112B05">
        <w:rPr>
          <w:rFonts w:ascii="Nunito" w:eastAsia="Nunito" w:hAnsi="Nunito" w:cs="Nunito"/>
          <w:sz w:val="20"/>
          <w:szCs w:val="20"/>
        </w:rPr>
        <w:t>3</w:t>
      </w:r>
      <w:r>
        <w:rPr>
          <w:rFonts w:ascii="Nunito" w:eastAsia="Nunito" w:hAnsi="Nunito" w:cs="Nunito"/>
          <w:sz w:val="20"/>
          <w:szCs w:val="20"/>
        </w:rPr>
        <w:t>. Chance is 0.50. The value of Delta where accuracy is 0.75 is the switch point calculated for each individual for the choice task. For separations below this value, they should fixate the center box, and for separations above this value, they should fixate one of the two side boxes.</w:t>
      </w:r>
    </w:p>
    <w:p w14:paraId="729A44E7" w14:textId="77777777" w:rsidR="00547BFD" w:rsidRDefault="00547BFD" w:rsidP="00547BFD">
      <w:r>
        <w:rPr>
          <w:noProof/>
        </w:rPr>
        <w:drawing>
          <wp:anchor distT="114300" distB="114300" distL="114300" distR="114300" simplePos="0" relativeHeight="251660288" behindDoc="0" locked="0" layoutInCell="1" hidden="0" allowOverlap="1" wp14:anchorId="02A1D057" wp14:editId="14C244EB">
            <wp:simplePos x="0" y="0"/>
            <wp:positionH relativeFrom="column">
              <wp:posOffset>19051</wp:posOffset>
            </wp:positionH>
            <wp:positionV relativeFrom="paragraph">
              <wp:posOffset>114300</wp:posOffset>
            </wp:positionV>
            <wp:extent cx="2881313" cy="2393567"/>
            <wp:effectExtent l="0" t="0" r="0" b="0"/>
            <wp:wrapTopAndBottom distT="114300" distB="114300"/>
            <wp:docPr id="17" name="image17.png" descr="Chart, line chart&#10;&#10;Description automatically generated"/>
            <wp:cNvGraphicFramePr/>
            <a:graphic xmlns:a="http://schemas.openxmlformats.org/drawingml/2006/main">
              <a:graphicData uri="http://schemas.openxmlformats.org/drawingml/2006/picture">
                <pic:pic xmlns:pic="http://schemas.openxmlformats.org/drawingml/2006/picture">
                  <pic:nvPicPr>
                    <pic:cNvPr id="17" name="image17.png" descr="Chart, line chart&#10;&#10;Description automatically generated"/>
                    <pic:cNvPicPr preferRelativeResize="0"/>
                  </pic:nvPicPr>
                  <pic:blipFill>
                    <a:blip r:embed="rId9"/>
                    <a:srcRect/>
                    <a:stretch>
                      <a:fillRect/>
                    </a:stretch>
                  </pic:blipFill>
                  <pic:spPr>
                    <a:xfrm>
                      <a:off x="0" y="0"/>
                      <a:ext cx="2881313" cy="2393567"/>
                    </a:xfrm>
                    <a:prstGeom prst="rect">
                      <a:avLst/>
                    </a:prstGeom>
                    <a:ln/>
                  </pic:spPr>
                </pic:pic>
              </a:graphicData>
            </a:graphic>
          </wp:anchor>
        </w:drawing>
      </w:r>
    </w:p>
    <w:p w14:paraId="235256FE" w14:textId="3FC83E82" w:rsidR="00547BFD" w:rsidRDefault="00547BFD" w:rsidP="00547BFD">
      <w:pPr>
        <w:rPr>
          <w:sz w:val="20"/>
          <w:szCs w:val="20"/>
        </w:rPr>
      </w:pPr>
      <w:r>
        <w:rPr>
          <w:rFonts w:ascii="Nunito" w:eastAsia="Nunito" w:hAnsi="Nunito" w:cs="Nunito"/>
          <w:sz w:val="20"/>
          <w:szCs w:val="20"/>
        </w:rPr>
        <w:t>Figure S.</w:t>
      </w:r>
      <w:r w:rsidR="00E90E3D">
        <w:rPr>
          <w:rFonts w:ascii="Nunito" w:eastAsia="Nunito" w:hAnsi="Nunito" w:cs="Nunito"/>
          <w:sz w:val="20"/>
          <w:szCs w:val="20"/>
        </w:rPr>
        <w:t>4</w:t>
      </w:r>
      <w:r>
        <w:rPr>
          <w:rFonts w:ascii="Nunito" w:eastAsia="Nunito" w:hAnsi="Nunito" w:cs="Nunito"/>
          <w:sz w:val="20"/>
          <w:szCs w:val="20"/>
        </w:rPr>
        <w:t xml:space="preserve">.2. Performance curves from the throwing accuracy session for the 4 non-naive participants in Experiment </w:t>
      </w:r>
      <w:r w:rsidR="00112B05">
        <w:rPr>
          <w:rFonts w:ascii="Nunito" w:eastAsia="Nunito" w:hAnsi="Nunito" w:cs="Nunito"/>
          <w:sz w:val="20"/>
          <w:szCs w:val="20"/>
        </w:rPr>
        <w:t>3</w:t>
      </w:r>
      <w:r>
        <w:rPr>
          <w:rFonts w:ascii="Nunito" w:eastAsia="Nunito" w:hAnsi="Nunito" w:cs="Nunito"/>
          <w:sz w:val="20"/>
          <w:szCs w:val="20"/>
        </w:rPr>
        <w:t>. The value of Delta where accuracy is 0.5 is the switch point calculated for each individual for the choice task. For separations below this value, they should stand midway between the two hoops, and for separations above this value, they should stand near one of the hoops.</w:t>
      </w:r>
    </w:p>
    <w:p w14:paraId="28E01887" w14:textId="77777777" w:rsidR="00547BFD" w:rsidRDefault="00547BFD" w:rsidP="00547BFD">
      <w:pPr>
        <w:jc w:val="center"/>
      </w:pPr>
      <w:r>
        <w:rPr>
          <w:noProof/>
        </w:rPr>
        <w:lastRenderedPageBreak/>
        <w:drawing>
          <wp:inline distT="114300" distB="114300" distL="114300" distR="114300" wp14:anchorId="7BDA9E65" wp14:editId="0CFB9449">
            <wp:extent cx="5943600" cy="4000500"/>
            <wp:effectExtent l="0" t="0" r="0" b="0"/>
            <wp:docPr id="5" name="image12.png" descr="Diagram, engineer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12.png" descr="Diagram, engineering drawing&#10;&#10;Description automatically generated"/>
                    <pic:cNvPicPr preferRelativeResize="0"/>
                  </pic:nvPicPr>
                  <pic:blipFill>
                    <a:blip r:embed="rId10"/>
                    <a:srcRect/>
                    <a:stretch>
                      <a:fillRect/>
                    </a:stretch>
                  </pic:blipFill>
                  <pic:spPr>
                    <a:xfrm>
                      <a:off x="0" y="0"/>
                      <a:ext cx="5943600" cy="4000500"/>
                    </a:xfrm>
                    <a:prstGeom prst="rect">
                      <a:avLst/>
                    </a:prstGeom>
                    <a:ln/>
                  </pic:spPr>
                </pic:pic>
              </a:graphicData>
            </a:graphic>
          </wp:inline>
        </w:drawing>
      </w:r>
    </w:p>
    <w:p w14:paraId="3819CD1C" w14:textId="461A5C2C" w:rsidR="00547BFD" w:rsidRDefault="00547BFD" w:rsidP="00547BFD">
      <w:pPr>
        <w:rPr>
          <w:rFonts w:ascii="Nunito" w:eastAsia="Nunito" w:hAnsi="Nunito" w:cs="Nunito"/>
          <w:sz w:val="20"/>
          <w:szCs w:val="20"/>
        </w:rPr>
      </w:pPr>
      <w:r>
        <w:rPr>
          <w:rFonts w:ascii="Nunito" w:eastAsia="Nunito" w:hAnsi="Nunito" w:cs="Nunito"/>
          <w:sz w:val="20"/>
          <w:szCs w:val="20"/>
        </w:rPr>
        <w:t>Figure S.4.</w:t>
      </w:r>
      <w:r w:rsidR="00E90E3D">
        <w:rPr>
          <w:rFonts w:ascii="Nunito" w:eastAsia="Nunito" w:hAnsi="Nunito" w:cs="Nunito"/>
          <w:sz w:val="20"/>
          <w:szCs w:val="20"/>
        </w:rPr>
        <w:t>3</w:t>
      </w:r>
      <w:r>
        <w:rPr>
          <w:rFonts w:ascii="Nunito" w:eastAsia="Nunito" w:hAnsi="Nunito" w:cs="Nunito"/>
          <w:sz w:val="20"/>
          <w:szCs w:val="20"/>
        </w:rPr>
        <w:t xml:space="preserve">. Performance curves from the </w:t>
      </w:r>
      <w:r w:rsidR="00E90E3D">
        <w:rPr>
          <w:rFonts w:ascii="Nunito" w:eastAsia="Nunito" w:hAnsi="Nunito" w:cs="Nunito"/>
          <w:sz w:val="20"/>
          <w:szCs w:val="20"/>
        </w:rPr>
        <w:t>acuity</w:t>
      </w:r>
      <w:r>
        <w:rPr>
          <w:rFonts w:ascii="Nunito" w:eastAsia="Nunito" w:hAnsi="Nunito" w:cs="Nunito"/>
          <w:sz w:val="20"/>
          <w:szCs w:val="20"/>
        </w:rPr>
        <w:t xml:space="preserve"> mapping phase for participants in Experiment </w:t>
      </w:r>
      <w:r w:rsidR="00E90E3D">
        <w:rPr>
          <w:rFonts w:ascii="Nunito" w:eastAsia="Nunito" w:hAnsi="Nunito" w:cs="Nunito"/>
          <w:sz w:val="20"/>
          <w:szCs w:val="20"/>
        </w:rPr>
        <w:t>2</w:t>
      </w:r>
      <w:r>
        <w:rPr>
          <w:rFonts w:ascii="Nunito" w:eastAsia="Nunito" w:hAnsi="Nunito" w:cs="Nunito"/>
          <w:sz w:val="20"/>
          <w:szCs w:val="20"/>
        </w:rPr>
        <w:t xml:space="preserve"> in the main text. Chance is 0.50. The value of Delta where accuracy is 0.75 is the switch point calculated for each individual for the choice task. For separations below this value, they should fixate the center box, and for separations above this value, they should fixate one of the two side boxes. These switch points are plotted in Figure S.4.2 below.</w:t>
      </w:r>
    </w:p>
    <w:p w14:paraId="50DE6B62" w14:textId="77777777" w:rsidR="00547BFD" w:rsidRDefault="00547BFD" w:rsidP="00547BFD">
      <w:pPr>
        <w:rPr>
          <w:rFonts w:ascii="Nunito" w:eastAsia="Nunito" w:hAnsi="Nunito" w:cs="Nunito"/>
        </w:rPr>
      </w:pPr>
    </w:p>
    <w:p w14:paraId="7FCA81FD" w14:textId="77777777" w:rsidR="00547BFD" w:rsidRDefault="00547BFD" w:rsidP="00547BFD">
      <w:r>
        <w:rPr>
          <w:noProof/>
        </w:rPr>
        <w:lastRenderedPageBreak/>
        <w:drawing>
          <wp:inline distT="114300" distB="114300" distL="114300" distR="114300" wp14:anchorId="2A747748" wp14:editId="5110D8ED">
            <wp:extent cx="5943600" cy="4432300"/>
            <wp:effectExtent l="0" t="0" r="0" b="0"/>
            <wp:docPr id="4" name="image19.png" descr="A picture containing shoji, crossword puzzle, sitting, building&#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9.png" descr="A picture containing shoji, crossword puzzle, sitting, building&#10;&#10;Description automatically generated"/>
                    <pic:cNvPicPr preferRelativeResize="0"/>
                  </pic:nvPicPr>
                  <pic:blipFill>
                    <a:blip r:embed="rId11"/>
                    <a:srcRect/>
                    <a:stretch>
                      <a:fillRect/>
                    </a:stretch>
                  </pic:blipFill>
                  <pic:spPr>
                    <a:xfrm>
                      <a:off x="0" y="0"/>
                      <a:ext cx="5943600" cy="4432300"/>
                    </a:xfrm>
                    <a:prstGeom prst="rect">
                      <a:avLst/>
                    </a:prstGeom>
                    <a:ln/>
                  </pic:spPr>
                </pic:pic>
              </a:graphicData>
            </a:graphic>
          </wp:inline>
        </w:drawing>
      </w:r>
    </w:p>
    <w:p w14:paraId="16E9BCA0" w14:textId="7A360716" w:rsidR="00547BFD" w:rsidRDefault="00547BFD" w:rsidP="00547BFD">
      <w:pPr>
        <w:rPr>
          <w:sz w:val="20"/>
          <w:szCs w:val="20"/>
        </w:rPr>
      </w:pPr>
      <w:r>
        <w:rPr>
          <w:rFonts w:ascii="Nunito" w:eastAsia="Nunito" w:hAnsi="Nunito" w:cs="Nunito"/>
          <w:sz w:val="20"/>
          <w:szCs w:val="20"/>
        </w:rPr>
        <w:t>Figure S.4.</w:t>
      </w:r>
      <w:r w:rsidR="00E90E3D">
        <w:rPr>
          <w:rFonts w:ascii="Nunito" w:eastAsia="Nunito" w:hAnsi="Nunito" w:cs="Nunito"/>
          <w:sz w:val="20"/>
          <w:szCs w:val="20"/>
        </w:rPr>
        <w:t>4</w:t>
      </w:r>
      <w:r>
        <w:rPr>
          <w:rFonts w:ascii="Nunito" w:eastAsia="Nunito" w:hAnsi="Nunito" w:cs="Nunito"/>
          <w:sz w:val="20"/>
          <w:szCs w:val="20"/>
        </w:rPr>
        <w:t xml:space="preserve">. Proportion of fixations to the side boxes for each participant in Experiment </w:t>
      </w:r>
      <w:r w:rsidR="00E90E3D">
        <w:rPr>
          <w:rFonts w:ascii="Nunito" w:eastAsia="Nunito" w:hAnsi="Nunito" w:cs="Nunito"/>
          <w:sz w:val="20"/>
          <w:szCs w:val="20"/>
        </w:rPr>
        <w:t>2</w:t>
      </w:r>
      <w:r>
        <w:rPr>
          <w:rFonts w:ascii="Nunito" w:eastAsia="Nunito" w:hAnsi="Nunito" w:cs="Nunito"/>
          <w:sz w:val="20"/>
          <w:szCs w:val="20"/>
        </w:rPr>
        <w:t>. The red crosses show Session 1 performance and the blue show Session 2. The top two rows are participants in the Primed group, and the bottom two rows are control. The blue lines depict optimal performance based on each participant’s sensitivity shown in Figure S.4.1 above.</w:t>
      </w:r>
    </w:p>
    <w:p w14:paraId="1FF60764" w14:textId="77777777" w:rsidR="00547BFD" w:rsidRDefault="00547BFD" w:rsidP="00547BFD"/>
    <w:p w14:paraId="3C8642D2" w14:textId="77777777" w:rsidR="00547BFD" w:rsidRDefault="00547BFD" w:rsidP="00547BFD">
      <w:pPr>
        <w:spacing w:after="160"/>
        <w:rPr>
          <w:b/>
          <w:sz w:val="20"/>
          <w:szCs w:val="20"/>
        </w:rPr>
      </w:pPr>
      <w:r>
        <w:rPr>
          <w:b/>
          <w:sz w:val="20"/>
          <w:szCs w:val="20"/>
        </w:rPr>
        <w:t>Bayesian model of the results of Experiment 2.</w:t>
      </w:r>
    </w:p>
    <w:p w14:paraId="05BE54AC" w14:textId="77777777" w:rsidR="00547BFD" w:rsidRDefault="00547BFD" w:rsidP="00547BFD">
      <w:pPr>
        <w:spacing w:after="160"/>
        <w:rPr>
          <w:sz w:val="20"/>
          <w:szCs w:val="20"/>
          <w:highlight w:val="yellow"/>
        </w:rPr>
      </w:pPr>
      <w:r>
        <w:rPr>
          <w:sz w:val="20"/>
          <w:szCs w:val="20"/>
        </w:rPr>
        <w:t xml:space="preserve">We used a Bayesian </w:t>
      </w:r>
      <w:proofErr w:type="spellStart"/>
      <w:r>
        <w:rPr>
          <w:sz w:val="20"/>
          <w:szCs w:val="20"/>
        </w:rPr>
        <w:t>generalised</w:t>
      </w:r>
      <w:proofErr w:type="spellEnd"/>
      <w:r>
        <w:rPr>
          <w:sz w:val="20"/>
          <w:szCs w:val="20"/>
        </w:rPr>
        <w:t xml:space="preserve"> linear mixed effect model to compare the effects of </w:t>
      </w:r>
      <w:proofErr w:type="spellStart"/>
      <w:r>
        <w:rPr>
          <w:sz w:val="20"/>
          <w:szCs w:val="20"/>
        </w:rPr>
        <w:t>practise</w:t>
      </w:r>
      <w:proofErr w:type="spellEnd"/>
      <w:r>
        <w:rPr>
          <w:sz w:val="20"/>
          <w:szCs w:val="20"/>
        </w:rPr>
        <w:t xml:space="preserve"> and instruction on accuracy between groups and over values of delta. The advantage of using such an approach is that it allows us to estimate the effect size, and the associated uncertainty. Modelling was done using </w:t>
      </w:r>
      <w:proofErr w:type="spellStart"/>
      <w:r>
        <w:rPr>
          <w:sz w:val="20"/>
          <w:szCs w:val="20"/>
        </w:rPr>
        <w:t>rStan</w:t>
      </w:r>
      <w:proofErr w:type="spellEnd"/>
      <w:r>
        <w:rPr>
          <w:sz w:val="20"/>
          <w:szCs w:val="20"/>
        </w:rPr>
        <w:t xml:space="preserve"> v2.17.3 (Carpenter et al., 2017) and the rethinking package v1.59 (</w:t>
      </w:r>
      <w:proofErr w:type="spellStart"/>
      <w:r>
        <w:rPr>
          <w:sz w:val="20"/>
          <w:szCs w:val="20"/>
        </w:rPr>
        <w:t>McElreath</w:t>
      </w:r>
      <w:proofErr w:type="spellEnd"/>
      <w:r>
        <w:rPr>
          <w:sz w:val="20"/>
          <w:szCs w:val="20"/>
        </w:rPr>
        <w:t xml:space="preserve">, 2016) for R 3.4.0. A logit link was used and we accounted for differences between individuals by allowing intercepts to vary. We included three fixed effects: group (control/instructed); block (in the first block, one group was instructed where to fixate, while in the second block, neither group were given instruction); and delta (the separation between the </w:t>
      </w:r>
      <w:proofErr w:type="spellStart"/>
      <w:r>
        <w:rPr>
          <w:sz w:val="20"/>
          <w:szCs w:val="20"/>
        </w:rPr>
        <w:t>centre</w:t>
      </w:r>
      <w:proofErr w:type="spellEnd"/>
      <w:r>
        <w:rPr>
          <w:sz w:val="20"/>
          <w:szCs w:val="20"/>
        </w:rPr>
        <w:t xml:space="preserve"> and side boxes). The model that allowed for all two-way interactions and a three-way interaction between these predictors outperformed the other models we considered (using WAIC) so we report results from that model. </w:t>
      </w:r>
    </w:p>
    <w:p w14:paraId="71C310EA" w14:textId="77777777" w:rsidR="00547BFD" w:rsidRDefault="00547BFD" w:rsidP="00547BFD">
      <w:pPr>
        <w:spacing w:after="160"/>
        <w:rPr>
          <w:sz w:val="20"/>
          <w:szCs w:val="20"/>
        </w:rPr>
      </w:pPr>
      <w:r>
        <w:rPr>
          <w:sz w:val="20"/>
          <w:szCs w:val="20"/>
        </w:rPr>
        <w:t xml:space="preserve">To </w:t>
      </w:r>
      <w:proofErr w:type="spellStart"/>
      <w:r>
        <w:rPr>
          <w:sz w:val="20"/>
          <w:szCs w:val="20"/>
        </w:rPr>
        <w:t>visualise</w:t>
      </w:r>
      <w:proofErr w:type="spellEnd"/>
      <w:r>
        <w:rPr>
          <w:sz w:val="20"/>
          <w:szCs w:val="20"/>
        </w:rPr>
        <w:t xml:space="preserve"> the model, we computed the predicted accuracy for the average participant, and recoded our variables to give: baseline (the control group in the first block), instructed (the instructed group in the first block), practice (the control group in the second block) and transfer (the instructed group in the second block). The posterior distributions are shown in Figure S.4.3. We can see there is some evidence for an </w:t>
      </w:r>
      <w:r>
        <w:rPr>
          <w:sz w:val="20"/>
          <w:szCs w:val="20"/>
        </w:rPr>
        <w:lastRenderedPageBreak/>
        <w:t xml:space="preserve">effect of learning for the small separations (the transfer condition outperforms the effect of </w:t>
      </w:r>
      <w:proofErr w:type="spellStart"/>
      <w:r>
        <w:rPr>
          <w:sz w:val="20"/>
          <w:szCs w:val="20"/>
        </w:rPr>
        <w:t>practise</w:t>
      </w:r>
      <w:proofErr w:type="spellEnd"/>
      <w:r>
        <w:rPr>
          <w:sz w:val="20"/>
          <w:szCs w:val="20"/>
        </w:rPr>
        <w:t>), but this does not hold over for the large separations. A plausible interpretation of this result is that instructions biased people to fixate the center more often than the sides; this bias promotes near-optimal performance for the close separations, to the detriment of performance at the far separations. Alternatively, there may have simply been more participants with a central bias in our primed group to begin with. Regardless, the results are consistent with Experiment 1 in suggesting people do not readily recognize and apply an optimal solution to this decision problem. There is very little evidence to suggest experience with implementing the optimal solution led participants to continue to implement  it when making subsequent choices in the same decision context.</w:t>
      </w:r>
    </w:p>
    <w:p w14:paraId="636CD751" w14:textId="77777777" w:rsidR="00547BFD" w:rsidRDefault="00547BFD" w:rsidP="00547BFD">
      <w:pPr>
        <w:spacing w:after="160"/>
        <w:rPr>
          <w:sz w:val="20"/>
          <w:szCs w:val="20"/>
        </w:rPr>
      </w:pPr>
      <w:r>
        <w:rPr>
          <w:sz w:val="20"/>
          <w:szCs w:val="20"/>
        </w:rPr>
        <w:t xml:space="preserve">  </w:t>
      </w:r>
      <w:r>
        <w:rPr>
          <w:noProof/>
          <w:sz w:val="20"/>
          <w:szCs w:val="20"/>
        </w:rPr>
        <w:drawing>
          <wp:inline distT="114300" distB="114300" distL="114300" distR="114300" wp14:anchorId="0E5ED8CA" wp14:editId="67AF64F1">
            <wp:extent cx="5943600" cy="2235200"/>
            <wp:effectExtent l="0" t="0" r="0" b="0"/>
            <wp:docPr id="6" name="image10.png" descr="Chart, line chart&#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0.png" descr="Chart, line chart&#10;&#10;Description automatically generated"/>
                    <pic:cNvPicPr preferRelativeResize="0"/>
                  </pic:nvPicPr>
                  <pic:blipFill>
                    <a:blip r:embed="rId12"/>
                    <a:srcRect l="142" r="142"/>
                    <a:stretch>
                      <a:fillRect/>
                    </a:stretch>
                  </pic:blipFill>
                  <pic:spPr>
                    <a:xfrm>
                      <a:off x="0" y="0"/>
                      <a:ext cx="5943600" cy="2235200"/>
                    </a:xfrm>
                    <a:prstGeom prst="rect">
                      <a:avLst/>
                    </a:prstGeom>
                    <a:ln/>
                  </pic:spPr>
                </pic:pic>
              </a:graphicData>
            </a:graphic>
          </wp:inline>
        </w:drawing>
      </w:r>
    </w:p>
    <w:p w14:paraId="618D376F" w14:textId="6AF87541" w:rsidR="00547BFD" w:rsidRDefault="00547BFD" w:rsidP="00547BFD">
      <w:r>
        <w:rPr>
          <w:rFonts w:ascii="Nunito" w:eastAsia="Nunito" w:hAnsi="Nunito" w:cs="Nunito"/>
          <w:sz w:val="20"/>
          <w:szCs w:val="20"/>
        </w:rPr>
        <w:t>Figure S.4.</w:t>
      </w:r>
      <w:r w:rsidR="00E90E3D">
        <w:rPr>
          <w:rFonts w:ascii="Nunito" w:eastAsia="Nunito" w:hAnsi="Nunito" w:cs="Nunito"/>
          <w:sz w:val="20"/>
          <w:szCs w:val="20"/>
        </w:rPr>
        <w:t>5</w:t>
      </w:r>
      <w:r>
        <w:rPr>
          <w:rFonts w:ascii="Nunito" w:eastAsia="Nunito" w:hAnsi="Nunito" w:cs="Nunito"/>
          <w:sz w:val="20"/>
          <w:szCs w:val="20"/>
        </w:rPr>
        <w:t xml:space="preserve">. Posterior distributions showing the predicted accuracy for a hypothetical average participant. Instruction improves accuracy across all separations. The “transfer” distribution estimates performance after this instruction is taken away. It is slightly better than practice at the smaller separations, but this difference is not observed at the farthest separations. </w:t>
      </w:r>
    </w:p>
    <w:p w14:paraId="1212B3B1" w14:textId="72844BDD" w:rsidR="009B0E29" w:rsidRDefault="009B0E29"/>
    <w:p w14:paraId="585F50D3" w14:textId="7ACDD3CA" w:rsidR="009B0E29" w:rsidRDefault="009B0E29">
      <w:r>
        <w:t>References</w:t>
      </w:r>
    </w:p>
    <w:p w14:paraId="4542E6E4" w14:textId="32A09212" w:rsidR="009B0E29" w:rsidRDefault="009B0E29"/>
    <w:p w14:paraId="529CBDF7" w14:textId="18ADBE71" w:rsidR="00831F00" w:rsidRDefault="00831F00" w:rsidP="00831F00">
      <w:pPr>
        <w:spacing w:line="360" w:lineRule="auto"/>
        <w:ind w:left="567" w:hanging="567"/>
        <w:rPr>
          <w:color w:val="222222"/>
          <w:sz w:val="20"/>
          <w:szCs w:val="20"/>
        </w:rPr>
      </w:pPr>
      <w:r w:rsidRPr="00E74BC1">
        <w:rPr>
          <w:color w:val="222222"/>
          <w:sz w:val="20"/>
          <w:szCs w:val="20"/>
          <w:highlight w:val="white"/>
        </w:rPr>
        <w:t xml:space="preserve">Carpenter, B., Gelman, A., Hoffman, M. D., Lee, D., Goodrich, B., Betancourt, M., Brubaker, M., Guo, J,. Li, P., &amp; Riddell, A. (2017). Stan: A probabilistic programming language. </w:t>
      </w:r>
      <w:r w:rsidRPr="00E74BC1">
        <w:rPr>
          <w:i/>
          <w:color w:val="222222"/>
          <w:sz w:val="20"/>
          <w:szCs w:val="20"/>
          <w:highlight w:val="white"/>
        </w:rPr>
        <w:t>Journal of statistical software</w:t>
      </w:r>
      <w:r w:rsidRPr="00E74BC1">
        <w:rPr>
          <w:color w:val="222222"/>
          <w:sz w:val="20"/>
          <w:szCs w:val="20"/>
          <w:highlight w:val="white"/>
        </w:rPr>
        <w:t xml:space="preserve">, </w:t>
      </w:r>
      <w:r w:rsidRPr="00E74BC1">
        <w:rPr>
          <w:i/>
          <w:color w:val="222222"/>
          <w:sz w:val="20"/>
          <w:szCs w:val="20"/>
          <w:highlight w:val="white"/>
        </w:rPr>
        <w:t>76</w:t>
      </w:r>
      <w:r w:rsidRPr="00E74BC1">
        <w:rPr>
          <w:color w:val="222222"/>
          <w:sz w:val="20"/>
          <w:szCs w:val="20"/>
          <w:highlight w:val="white"/>
        </w:rPr>
        <w:t>(1).</w:t>
      </w:r>
    </w:p>
    <w:p w14:paraId="41CF3E28" w14:textId="51AB138D" w:rsidR="00831F00" w:rsidRDefault="00831F00" w:rsidP="00831F00">
      <w:pPr>
        <w:spacing w:line="360" w:lineRule="auto"/>
        <w:ind w:left="567" w:hanging="567"/>
        <w:rPr>
          <w:i/>
          <w:sz w:val="20"/>
          <w:szCs w:val="20"/>
        </w:rPr>
      </w:pPr>
      <w:r w:rsidRPr="00E74BC1">
        <w:rPr>
          <w:sz w:val="20"/>
          <w:szCs w:val="20"/>
        </w:rPr>
        <w:t xml:space="preserve">Clarke, A.D.F. &amp; Hunt, A.R. (2016). Failure of intuition when choosing whether to invest in a single goal or split resources between two goals. </w:t>
      </w:r>
      <w:r w:rsidRPr="00E74BC1">
        <w:rPr>
          <w:i/>
          <w:sz w:val="20"/>
          <w:szCs w:val="20"/>
        </w:rPr>
        <w:t xml:space="preserve">Psychological Science, </w:t>
      </w:r>
      <w:r w:rsidRPr="00E74BC1">
        <w:rPr>
          <w:sz w:val="20"/>
          <w:szCs w:val="20"/>
        </w:rPr>
        <w:t>27, 64–74</w:t>
      </w:r>
      <w:r w:rsidRPr="00E74BC1">
        <w:rPr>
          <w:i/>
          <w:sz w:val="20"/>
          <w:szCs w:val="20"/>
        </w:rPr>
        <w:t>.</w:t>
      </w:r>
    </w:p>
    <w:p w14:paraId="1DFEEF16" w14:textId="77777777" w:rsidR="00831F00" w:rsidRPr="00E74BC1" w:rsidRDefault="00831F00" w:rsidP="00831F00">
      <w:pPr>
        <w:spacing w:line="360" w:lineRule="auto"/>
        <w:ind w:left="567" w:hanging="567"/>
        <w:rPr>
          <w:sz w:val="20"/>
          <w:szCs w:val="20"/>
        </w:rPr>
      </w:pPr>
      <w:r w:rsidRPr="00E74BC1">
        <w:rPr>
          <w:sz w:val="20"/>
          <w:szCs w:val="20"/>
        </w:rPr>
        <w:t xml:space="preserve">James, W., Clarke, A.D.F. &amp; Hunt, AR. (2017). Failure to use probability of success when deciding whether to pursue one goal or two. in </w:t>
      </w:r>
      <w:r w:rsidRPr="00E74BC1">
        <w:rPr>
          <w:i/>
          <w:sz w:val="20"/>
          <w:szCs w:val="20"/>
        </w:rPr>
        <w:t>Proceedings of the 39th annual meeting of the Cognitive Science Society.</w:t>
      </w:r>
      <w:r w:rsidRPr="00E74BC1">
        <w:rPr>
          <w:sz w:val="20"/>
          <w:szCs w:val="20"/>
        </w:rPr>
        <w:t xml:space="preserve"> </w:t>
      </w:r>
      <w:proofErr w:type="spellStart"/>
      <w:r w:rsidRPr="00E74BC1">
        <w:rPr>
          <w:sz w:val="20"/>
          <w:szCs w:val="20"/>
        </w:rPr>
        <w:t>Cogsci</w:t>
      </w:r>
      <w:proofErr w:type="spellEnd"/>
      <w:r w:rsidRPr="00E74BC1">
        <w:rPr>
          <w:sz w:val="20"/>
          <w:szCs w:val="20"/>
        </w:rPr>
        <w:t xml:space="preserve">, pp. 2279-2283. </w:t>
      </w:r>
    </w:p>
    <w:p w14:paraId="24AB3A4D" w14:textId="77777777" w:rsidR="00831F00" w:rsidRPr="00E74BC1" w:rsidRDefault="00831F00" w:rsidP="00831F00">
      <w:pPr>
        <w:spacing w:line="360" w:lineRule="auto"/>
        <w:ind w:left="567" w:hanging="567"/>
        <w:rPr>
          <w:rFonts w:cstheme="minorHAnsi"/>
          <w:bCs/>
          <w:i/>
          <w:iCs/>
          <w:color w:val="000000"/>
          <w:sz w:val="20"/>
          <w:szCs w:val="20"/>
        </w:rPr>
      </w:pPr>
      <w:r w:rsidRPr="00E74BC1">
        <w:rPr>
          <w:rFonts w:cstheme="minorHAnsi"/>
          <w:sz w:val="20"/>
          <w:szCs w:val="20"/>
        </w:rPr>
        <w:t xml:space="preserve">James, W.R.G., Hunt, A.R. &amp; Clarke, A.D.F. (in press). </w:t>
      </w:r>
      <w:r w:rsidRPr="00E74BC1">
        <w:rPr>
          <w:rFonts w:cstheme="minorHAnsi"/>
          <w:bCs/>
          <w:color w:val="000000"/>
          <w:sz w:val="20"/>
          <w:szCs w:val="20"/>
        </w:rPr>
        <w:t>Six of one, half dozen of the other: Suboptimal prioritizing for equal and unequal alternatives</w:t>
      </w:r>
      <w:r w:rsidRPr="00E74BC1">
        <w:rPr>
          <w:rFonts w:cstheme="minorHAnsi"/>
          <w:bCs/>
          <w:i/>
          <w:iCs/>
          <w:color w:val="000000"/>
          <w:sz w:val="20"/>
          <w:szCs w:val="20"/>
        </w:rPr>
        <w:t>.</w:t>
      </w:r>
      <w:r w:rsidRPr="00E74BC1">
        <w:rPr>
          <w:rFonts w:cstheme="minorHAnsi"/>
          <w:bCs/>
          <w:color w:val="000000"/>
          <w:sz w:val="20"/>
          <w:szCs w:val="20"/>
        </w:rPr>
        <w:t xml:space="preserve"> </w:t>
      </w:r>
      <w:r w:rsidRPr="00E74BC1">
        <w:rPr>
          <w:rFonts w:cstheme="minorHAnsi"/>
          <w:bCs/>
          <w:i/>
          <w:iCs/>
          <w:color w:val="000000"/>
          <w:sz w:val="20"/>
          <w:szCs w:val="20"/>
        </w:rPr>
        <w:t>Memory and Cognition.</w:t>
      </w:r>
    </w:p>
    <w:p w14:paraId="2B19F5FF" w14:textId="77777777" w:rsidR="00831F00" w:rsidRPr="00E74BC1" w:rsidRDefault="00831F00" w:rsidP="00831F00">
      <w:pPr>
        <w:spacing w:line="360" w:lineRule="auto"/>
        <w:ind w:left="567" w:hanging="567"/>
        <w:rPr>
          <w:i/>
          <w:sz w:val="20"/>
          <w:szCs w:val="20"/>
        </w:rPr>
      </w:pPr>
    </w:p>
    <w:p w14:paraId="7D03C4A2" w14:textId="77777777" w:rsidR="00831F00" w:rsidRPr="00E74BC1" w:rsidRDefault="00831F00" w:rsidP="00831F00">
      <w:pPr>
        <w:spacing w:line="360" w:lineRule="auto"/>
        <w:ind w:left="567" w:hanging="567"/>
        <w:rPr>
          <w:sz w:val="20"/>
          <w:szCs w:val="20"/>
        </w:rPr>
      </w:pPr>
      <w:proofErr w:type="spellStart"/>
      <w:r w:rsidRPr="00E74BC1">
        <w:rPr>
          <w:sz w:val="20"/>
          <w:szCs w:val="20"/>
        </w:rPr>
        <w:lastRenderedPageBreak/>
        <w:t>Morvan</w:t>
      </w:r>
      <w:proofErr w:type="spellEnd"/>
      <w:r w:rsidRPr="00E74BC1">
        <w:rPr>
          <w:sz w:val="20"/>
          <w:szCs w:val="20"/>
        </w:rPr>
        <w:t xml:space="preserve">, C. and Maloney, L. T. (2012). Human visual search does not maximize the post-saccadic probability of identifying targets. </w:t>
      </w:r>
      <w:proofErr w:type="spellStart"/>
      <w:r w:rsidRPr="00E74BC1">
        <w:rPr>
          <w:i/>
          <w:sz w:val="20"/>
          <w:szCs w:val="20"/>
        </w:rPr>
        <w:t>PLoS</w:t>
      </w:r>
      <w:proofErr w:type="spellEnd"/>
      <w:r w:rsidRPr="00E74BC1">
        <w:rPr>
          <w:i/>
          <w:sz w:val="20"/>
          <w:szCs w:val="20"/>
        </w:rPr>
        <w:t xml:space="preserve"> Computational Biology,</w:t>
      </w:r>
      <w:r w:rsidRPr="00E74BC1">
        <w:rPr>
          <w:sz w:val="20"/>
          <w:szCs w:val="20"/>
        </w:rPr>
        <w:t xml:space="preserve"> 8(2):e1002342.</w:t>
      </w:r>
    </w:p>
    <w:p w14:paraId="22C71B54" w14:textId="77777777" w:rsidR="00831F00" w:rsidRPr="00E74BC1" w:rsidRDefault="00831F00" w:rsidP="00831F00">
      <w:pPr>
        <w:spacing w:line="360" w:lineRule="auto"/>
        <w:ind w:left="567" w:hanging="567"/>
        <w:rPr>
          <w:sz w:val="20"/>
          <w:szCs w:val="20"/>
        </w:rPr>
      </w:pPr>
      <w:proofErr w:type="spellStart"/>
      <w:r w:rsidRPr="00E74BC1">
        <w:rPr>
          <w:sz w:val="20"/>
          <w:szCs w:val="20"/>
        </w:rPr>
        <w:t>Nowakowska</w:t>
      </w:r>
      <w:proofErr w:type="spellEnd"/>
      <w:r w:rsidRPr="00E74BC1">
        <w:rPr>
          <w:sz w:val="20"/>
          <w:szCs w:val="20"/>
        </w:rPr>
        <w:t xml:space="preserve">, A., Clarke, A.D.F. &amp; Hunt, A.R. (2017). Human visual search is far from ideal. </w:t>
      </w:r>
      <w:r w:rsidRPr="00E74BC1">
        <w:rPr>
          <w:i/>
          <w:sz w:val="20"/>
          <w:szCs w:val="20"/>
        </w:rPr>
        <w:t xml:space="preserve">Proceedings of the Royal Society B: Biological Science, </w:t>
      </w:r>
      <w:r w:rsidRPr="00E74BC1">
        <w:rPr>
          <w:sz w:val="20"/>
          <w:szCs w:val="20"/>
        </w:rPr>
        <w:t xml:space="preserve">284, 2016.2676. </w:t>
      </w:r>
    </w:p>
    <w:sectPr w:rsidR="00831F00" w:rsidRPr="00E74BC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panose1 w:val="020B0604020202020204"/>
    <w:charset w:val="4D"/>
    <w:family w:val="auto"/>
    <w:pitch w:val="variable"/>
    <w:sig w:usb0="A00002FF" w:usb1="5000204B" w:usb2="00000000" w:usb3="00000000" w:csb0="00000197"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5E3894"/>
    <w:multiLevelType w:val="multilevel"/>
    <w:tmpl w:val="995CCE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21158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BFD"/>
    <w:rsid w:val="00112B05"/>
    <w:rsid w:val="002064FB"/>
    <w:rsid w:val="002A5D23"/>
    <w:rsid w:val="00307B3A"/>
    <w:rsid w:val="003A711D"/>
    <w:rsid w:val="004B6BDA"/>
    <w:rsid w:val="004E04FC"/>
    <w:rsid w:val="00547BFD"/>
    <w:rsid w:val="0060251D"/>
    <w:rsid w:val="006144F1"/>
    <w:rsid w:val="00646CED"/>
    <w:rsid w:val="006C07B5"/>
    <w:rsid w:val="006C5812"/>
    <w:rsid w:val="00831F00"/>
    <w:rsid w:val="009A54F4"/>
    <w:rsid w:val="009B0E29"/>
    <w:rsid w:val="00BE0335"/>
    <w:rsid w:val="00BF3033"/>
    <w:rsid w:val="00C32E2D"/>
    <w:rsid w:val="00D76AD1"/>
    <w:rsid w:val="00DA7C69"/>
    <w:rsid w:val="00E90E3D"/>
    <w:rsid w:val="00ED3D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56BA0"/>
  <w15:chartTrackingRefBased/>
  <w15:docId w15:val="{0FE707BC-648E-C444-9734-0085611D9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BFD"/>
    <w:pPr>
      <w:spacing w:line="276" w:lineRule="auto"/>
    </w:pPr>
    <w:rPr>
      <w:rFonts w:ascii="Arial" w:eastAsia="Arial" w:hAnsi="Arial" w:cs="Arial"/>
      <w:sz w:val="22"/>
      <w:szCs w:val="22"/>
      <w:lang w:val="en" w:eastAsia="en-GB"/>
    </w:rPr>
  </w:style>
  <w:style w:type="paragraph" w:styleId="Heading3">
    <w:name w:val="heading 3"/>
    <w:basedOn w:val="Normal"/>
    <w:next w:val="Normal"/>
    <w:link w:val="Heading3Char"/>
    <w:uiPriority w:val="9"/>
    <w:unhideWhenUsed/>
    <w:qFormat/>
    <w:rsid w:val="00547BFD"/>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47BFD"/>
    <w:rPr>
      <w:rFonts w:ascii="Arial" w:eastAsia="Arial" w:hAnsi="Arial" w:cs="Arial"/>
      <w:color w:val="434343"/>
      <w:sz w:val="28"/>
      <w:szCs w:val="28"/>
      <w:lang w:val="en" w:eastAsia="en-GB"/>
    </w:rPr>
  </w:style>
  <w:style w:type="paragraph" w:styleId="Title">
    <w:name w:val="Title"/>
    <w:basedOn w:val="Normal"/>
    <w:next w:val="Normal"/>
    <w:link w:val="TitleChar"/>
    <w:uiPriority w:val="10"/>
    <w:qFormat/>
    <w:rsid w:val="00547BFD"/>
    <w:pPr>
      <w:keepNext/>
      <w:keepLines/>
      <w:spacing w:after="60"/>
    </w:pPr>
    <w:rPr>
      <w:sz w:val="52"/>
      <w:szCs w:val="52"/>
    </w:rPr>
  </w:style>
  <w:style w:type="character" w:customStyle="1" w:styleId="TitleChar">
    <w:name w:val="Title Char"/>
    <w:basedOn w:val="DefaultParagraphFont"/>
    <w:link w:val="Title"/>
    <w:uiPriority w:val="10"/>
    <w:rsid w:val="00547BFD"/>
    <w:rPr>
      <w:rFonts w:ascii="Arial" w:eastAsia="Arial" w:hAnsi="Arial" w:cs="Arial"/>
      <w:sz w:val="52"/>
      <w:szCs w:val="52"/>
      <w:lang w:val="en" w:eastAsia="en-GB"/>
    </w:rPr>
  </w:style>
  <w:style w:type="paragraph" w:styleId="ListParagraph">
    <w:name w:val="List Paragraph"/>
    <w:basedOn w:val="Normal"/>
    <w:uiPriority w:val="34"/>
    <w:qFormat/>
    <w:rsid w:val="00E90E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1023</Words>
  <Characters>5833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 Amelia</dc:creator>
  <cp:keywords/>
  <dc:description/>
  <cp:lastModifiedBy>Hunt, Amelia</cp:lastModifiedBy>
  <cp:revision>2</cp:revision>
  <dcterms:created xsi:type="dcterms:W3CDTF">2025-11-28T17:26:00Z</dcterms:created>
  <dcterms:modified xsi:type="dcterms:W3CDTF">2025-11-28T17:26:00Z</dcterms:modified>
</cp:coreProperties>
</file>