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2A4C499C"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 xml:space="preserve">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 People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guided participants to make choices that followed an optimal strategy, and then removed the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724C1F18"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to competing goals. A rational principle to apply when faced with such decisions would be to use the resources the tasks </w:t>
      </w:r>
      <w:r w:rsidR="00CB5C94">
        <w:rPr>
          <w:sz w:val="20"/>
          <w:szCs w:val="20"/>
        </w:rPr>
        <w:t>require to</w:t>
      </w:r>
      <w:r>
        <w:rPr>
          <w:sz w:val="20"/>
          <w:szCs w:val="20"/>
        </w:rPr>
        <w:t xml:space="preserve"> 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the two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may be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the task is trivially easy, and when it is far away, the task becomes challenging. </w:t>
      </w:r>
      <w:r w:rsidR="002C5511">
        <w:rPr>
          <w:color w:val="E36C0A" w:themeColor="accent6" w:themeShade="BF"/>
          <w:sz w:val="20"/>
          <w:szCs w:val="20"/>
        </w:rPr>
        <w:t xml:space="preserve">In the second phase of the experiment,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Pr>
          <w:sz w:val="20"/>
          <w:szCs w:val="20"/>
        </w:rPr>
        <w:t xml:space="preserve">, and they had to decide whether to try and accomplish both or to focus on one or the other. </w:t>
      </w:r>
      <w:r w:rsidR="006E4D59" w:rsidRPr="006E4D59">
        <w:rPr>
          <w:color w:val="E36C0A" w:themeColor="accent6" w:themeShade="BF"/>
          <w:sz w:val="20"/>
          <w:szCs w:val="20"/>
        </w:rPr>
        <w:t xml:space="preserve">Importantly, the actual goal is not revealed to the participant until after they have made their decision. </w:t>
      </w:r>
      <w:r>
        <w:rPr>
          <w:sz w:val="20"/>
          <w:szCs w:val="20"/>
        </w:rPr>
        <w:t xml:space="preserve">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 Alternatively, they could choose to stand next to one hoop or the other and hope it turns out to be the target.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7AC4503B" w:rsidR="00B54B24" w:rsidRDefault="00FB4B01" w:rsidP="00B92266">
      <w:pPr>
        <w:spacing w:line="360" w:lineRule="auto"/>
        <w:rPr>
          <w:sz w:val="20"/>
          <w:szCs w:val="20"/>
        </w:rPr>
      </w:pPr>
      <w:r>
        <w:rPr>
          <w:sz w:val="20"/>
          <w:szCs w:val="20"/>
        </w:rPr>
        <w:t xml:space="preserve">Although this logic appears simple to understand and implement, at least in retrospect,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 xml:space="preserve">Some participants consistently stick to a “central” strategy in which they always split their resources between both goals leading them to perform poorly when as difficulty increases. Others exhibit a large amount of trial-to-trial variability and under-perform when the goals are easy.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xml:space="preserve">) produced the same failure. The </w:t>
      </w:r>
      <w:r>
        <w:rPr>
          <w:sz w:val="20"/>
          <w:szCs w:val="20"/>
        </w:rPr>
        <w:lastRenderedPageBreak/>
        <w:t xml:space="preserve">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3EACEFF3" w14:textId="77777777" w:rsidR="00B54B24" w:rsidRDefault="00B54B24" w:rsidP="00B92266">
      <w:pPr>
        <w:spacing w:line="360" w:lineRule="auto"/>
        <w:rPr>
          <w:sz w:val="20"/>
          <w:szCs w:val="20"/>
        </w:rPr>
      </w:pPr>
    </w:p>
    <w:p w14:paraId="0B7E15EC" w14:textId="6B5BF98A" w:rsidR="00B54B24" w:rsidRDefault="00FB4B01" w:rsidP="00B92266">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w:t>
      </w:r>
      <w:r w:rsidR="00D0032E">
        <w:rPr>
          <w:sz w:val="20"/>
          <w:szCs w:val="20"/>
        </w:rPr>
        <w:t>the “</w:t>
      </w:r>
      <w:r>
        <w:rPr>
          <w:sz w:val="20"/>
          <w:szCs w:val="20"/>
        </w:rPr>
        <w:t xml:space="preserve">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precisely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just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7F1BADA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w:t>
      </w:r>
      <w:r>
        <w:rPr>
          <w:sz w:val="20"/>
          <w:szCs w:val="20"/>
        </w:rPr>
        <w:lastRenderedPageBreak/>
        <w:t xml:space="preserve">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p>
    <w:p w14:paraId="6F85E85E" w14:textId="7F303E34" w:rsidR="00D0032E" w:rsidRDefault="00D0032E" w:rsidP="00B92266">
      <w:pPr>
        <w:spacing w:line="360" w:lineRule="auto"/>
        <w:rPr>
          <w:sz w:val="20"/>
          <w:szCs w:val="20"/>
        </w:rPr>
      </w:pPr>
    </w:p>
    <w:p w14:paraId="78CF4BFF" w14:textId="339052F5" w:rsidR="00D0032E" w:rsidRPr="00D0032E" w:rsidRDefault="00D0032E" w:rsidP="00B92266">
      <w:pPr>
        <w:spacing w:line="360" w:lineRule="auto"/>
        <w:rPr>
          <w:color w:val="FF0000"/>
          <w:sz w:val="20"/>
          <w:szCs w:val="20"/>
        </w:rPr>
      </w:pPr>
      <w:r w:rsidRPr="00D0032E">
        <w:rPr>
          <w:color w:val="FF0000"/>
          <w:sz w:val="20"/>
          <w:szCs w:val="20"/>
        </w:rPr>
        <w:t>&lt;insert overview of transfer lit here&gt;</w:t>
      </w:r>
    </w:p>
    <w:p w14:paraId="52A81C04" w14:textId="77777777" w:rsidR="00B54B24" w:rsidRDefault="00B54B24" w:rsidP="00B92266">
      <w:pPr>
        <w:spacing w:line="360" w:lineRule="auto"/>
        <w:rPr>
          <w:sz w:val="20"/>
          <w:szCs w:val="20"/>
        </w:rPr>
      </w:pPr>
    </w:p>
    <w:p w14:paraId="1647AA29" w14:textId="77777777" w:rsidR="00B54B24" w:rsidRDefault="00FB4B01" w:rsidP="00B92266">
      <w:pPr>
        <w:spacing w:line="360" w:lineRule="auto"/>
        <w:rPr>
          <w:b/>
          <w:sz w:val="24"/>
          <w:szCs w:val="24"/>
        </w:rPr>
      </w:pPr>
      <w:r>
        <w:rPr>
          <w:sz w:val="20"/>
          <w:szCs w:val="20"/>
        </w:rPr>
        <w:t xml:space="preserve">Viewing the series of choices in a focus-divide experiment from a learning perspective, 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 (e.g., see Clarke &amp; Hunt, 2016, Figure 2). This is consistent with a trial-and-error strategy. In contrast, the responses of informed participants (see Appendix A)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The results shed light on our readiness to apply logical rules to new tasks.</w:t>
      </w:r>
    </w:p>
    <w:p w14:paraId="56579F2A" w14:textId="77777777" w:rsidR="00B54B24" w:rsidRDefault="00B54B24" w:rsidP="00B92266">
      <w:pPr>
        <w:spacing w:line="360" w:lineRule="auto"/>
        <w:rPr>
          <w:sz w:val="20"/>
          <w:szCs w:val="20"/>
        </w:rPr>
      </w:pPr>
    </w:p>
    <w:p w14:paraId="7A81F7E7" w14:textId="3E9222D0" w:rsidR="00B54B24" w:rsidRDefault="00FB4B01" w:rsidP="00B92266">
      <w:pPr>
        <w:spacing w:after="160" w:line="360" w:lineRule="auto"/>
        <w:rPr>
          <w:b/>
          <w:sz w:val="28"/>
          <w:szCs w:val="28"/>
        </w:rPr>
      </w:pPr>
      <w:bookmarkStart w:id="3" w:name="_Hlk140586369"/>
      <w:r>
        <w:rPr>
          <w:b/>
          <w:sz w:val="28"/>
          <w:szCs w:val="28"/>
        </w:rPr>
        <w:t>Experiment 1</w:t>
      </w:r>
      <w:r w:rsidR="00D12A56">
        <w:rPr>
          <w:b/>
          <w:sz w:val="28"/>
          <w:szCs w:val="28"/>
        </w:rPr>
        <w:t>A</w:t>
      </w:r>
      <w:r>
        <w:rPr>
          <w:b/>
          <w:sz w:val="28"/>
          <w:szCs w:val="28"/>
        </w:rPr>
        <w:t>: Transfer between tasks</w:t>
      </w:r>
    </w:p>
    <w:bookmarkEnd w:id="3"/>
    <w:p w14:paraId="289AE324" w14:textId="4187FEAC" w:rsidR="0057559F" w:rsidRDefault="00FB4B01" w:rsidP="00B92266">
      <w:pPr>
        <w:spacing w:line="360" w:lineRule="auto"/>
        <w:rPr>
          <w:sz w:val="20"/>
          <w:szCs w:val="20"/>
        </w:rPr>
      </w:pPr>
      <w:r>
        <w:rPr>
          <w:sz w:val="20"/>
          <w:szCs w:val="20"/>
        </w:rPr>
        <w:lastRenderedPageBreak/>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tasks: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n a fourth experiment, Clarke and Hunt (2016) simplified the participants’ task to 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both placed close to another near the midpoint of the table, while the blue beanbags were placed at either end of the table. (The two green beanbags were placed at intermediate position between the blue and red bags.) Three chairs were placed by the table: one on the left, one central and one to the right. (See Figure 1 for a photograph of this setup.) </w:t>
      </w:r>
      <w:r w:rsidR="0057559F">
        <w:rPr>
          <w:color w:val="F79646" w:themeColor="accent6"/>
          <w:sz w:val="20"/>
          <w:szCs w:val="20"/>
        </w:rPr>
        <w:t xml:space="preserve">On each trial, a </w:t>
      </w:r>
      <w:proofErr w:type="spellStart"/>
      <w:r w:rsidR="0057559F">
        <w:rPr>
          <w:color w:val="F79646" w:themeColor="accent6"/>
          <w:sz w:val="20"/>
          <w:szCs w:val="20"/>
        </w:rPr>
        <w:t>colour</w:t>
      </w:r>
      <w:proofErr w:type="spellEnd"/>
      <w:r w:rsidR="0057559F">
        <w:rPr>
          <w:color w:val="F79646" w:themeColor="accent6"/>
          <w:sz w:val="20"/>
          <w:szCs w:val="20"/>
        </w:rPr>
        <w:t xml:space="preserve"> was selected at random and participants were </w:t>
      </w:r>
      <w:r w:rsidR="0057559F">
        <w:rPr>
          <w:color w:val="000000" w:themeColor="text1"/>
          <w:sz w:val="20"/>
          <w:szCs w:val="20"/>
        </w:rPr>
        <w:t xml:space="preserve">asked to sit at 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they would need to pick up. Clearly, if the beanbags are within arm’s reach from the central chair, the participant should sit there. If they are too far apart to reach from the center, the participant should select a chair close to one of the beanbags, ensuring they can at least reach that one. 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3BF8E3E9" w14:textId="77777777" w:rsidR="0057559F" w:rsidRDefault="0057559F" w:rsidP="00B92266">
      <w:pPr>
        <w:spacing w:line="360" w:lineRule="auto"/>
        <w:rPr>
          <w:sz w:val="20"/>
          <w:szCs w:val="20"/>
        </w:rPr>
      </w:pPr>
    </w:p>
    <w:p w14:paraId="67105D77" w14:textId="0BCC61F0"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2A895FDF"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task first and then the throwing task) or the control group (those who did only the throwing task), with 16 in each group. There was a £5 remuneration given to the ORSEE participants, and appropriate academic credits awarded to the SONA participants. In this and all subsequent experiments, the experimental protocol was reviewed and approved by the Aberdeen Psychology Ethics Committee,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3B8DF1B7" w:rsidR="0032318A" w:rsidRPr="0032318A" w:rsidRDefault="0032318A" w:rsidP="00B92266">
      <w:pPr>
        <w:spacing w:line="360" w:lineRule="auto"/>
        <w:rPr>
          <w:color w:val="E36C0A" w:themeColor="accent6" w:themeShade="BF"/>
          <w:sz w:val="20"/>
          <w:szCs w:val="20"/>
        </w:rPr>
      </w:pPr>
      <w:r w:rsidRPr="0032318A">
        <w:rPr>
          <w:color w:val="E36C0A" w:themeColor="accent6" w:themeShade="BF"/>
          <w:sz w:val="20"/>
          <w:szCs w:val="20"/>
        </w:rPr>
        <w:lastRenderedPageBreak/>
        <w:t xml:space="preserve">This experiment is designed to test whether experience with the reaching task will lead participants to perform optimally in the throwing task. From our previous work, we know that when participants perform optimally (i.e., when completing the reaching task) we see zero variance: all participants behave in an identical manner consistently following the optimal decision rule from trial to trial. In other versions of the focus-divide dilemma, we see large deviations from this optimal </w:t>
      </w:r>
      <w:proofErr w:type="spellStart"/>
      <w:r w:rsidRPr="0032318A">
        <w:rPr>
          <w:color w:val="E36C0A" w:themeColor="accent6" w:themeShade="BF"/>
          <w:sz w:val="20"/>
          <w:szCs w:val="20"/>
        </w:rPr>
        <w:t>behaviour</w:t>
      </w:r>
      <w:proofErr w:type="spellEnd"/>
      <w:r w:rsidRPr="0032318A">
        <w:rPr>
          <w:color w:val="E36C0A" w:themeColor="accent6" w:themeShade="BF"/>
          <w:sz w:val="20"/>
          <w:szCs w:val="20"/>
        </w:rPr>
        <w:t xml:space="preserve"> with excessive trial-to-trial variability within subjects, and large differences from one participant to the next. </w:t>
      </w:r>
      <w:r>
        <w:rPr>
          <w:color w:val="E36C0A" w:themeColor="accent6" w:themeShade="BF"/>
          <w:sz w:val="20"/>
          <w:szCs w:val="20"/>
        </w:rPr>
        <w:t xml:space="preserve">As such, </w:t>
      </w:r>
      <w:r w:rsidR="00D12A56">
        <w:rPr>
          <w:color w:val="E36C0A" w:themeColor="accent6" w:themeShade="BF"/>
          <w:sz w:val="20"/>
          <w:szCs w:val="20"/>
        </w:rPr>
        <w:t>our hypothesized effect is extremely large and, at least in the first instance, only a small number of participants is required.</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3192DD2C"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over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w:t>
      </w:r>
      <w:r>
        <w:rPr>
          <w:rFonts w:ascii="Nunito" w:eastAsia="Nunito" w:hAnsi="Nunito" w:cs="Nunito"/>
          <w:sz w:val="20"/>
          <w:szCs w:val="20"/>
        </w:rPr>
        <w:lastRenderedPageBreak/>
        <w:t xml:space="preserve">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08660B1C"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w:t>
      </w:r>
      <w:commentRangeStart w:id="5"/>
      <w:r w:rsidR="004C6F4A">
        <w:rPr>
          <w:color w:val="F79646" w:themeColor="accent6"/>
          <w:sz w:val="20"/>
          <w:szCs w:val="20"/>
        </w:rPr>
        <w:t xml:space="preserve">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w:t>
      </w:r>
      <w:commentRangeEnd w:id="5"/>
      <w:r w:rsidR="004C6F4A">
        <w:rPr>
          <w:rStyle w:val="CommentReference"/>
        </w:rPr>
        <w:commentReference w:id="5"/>
      </w:r>
      <w:r w:rsidR="004C6F4A">
        <w:rPr>
          <w:color w:val="F79646" w:themeColor="accent6"/>
          <w:sz w:val="20"/>
          <w:szCs w:val="20"/>
        </w:rPr>
        <w:t xml:space="preserve">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v far hoops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w:t>
      </w:r>
      <w:proofErr w:type="gramStart"/>
      <w:r>
        <w:rPr>
          <w:sz w:val="20"/>
          <w:szCs w:val="20"/>
        </w:rPr>
        <w:t>right side</w:t>
      </w:r>
      <w:proofErr w:type="gramEnd"/>
      <w:r>
        <w:rPr>
          <w:sz w:val="20"/>
          <w:szCs w:val="20"/>
        </w:rPr>
        <w:t xml:space="preserve"> chair, resulting in a 50% success rate. </w:t>
      </w:r>
      <w:commentRangeStart w:id="6"/>
      <w:r w:rsidR="002058E0" w:rsidRPr="002058E0">
        <w:rPr>
          <w:color w:val="E36C0A" w:themeColor="accent6" w:themeShade="BF"/>
          <w:sz w:val="20"/>
          <w:szCs w:val="20"/>
        </w:rPr>
        <w:t>No variance, either within, or between participants was observed</w:t>
      </w:r>
      <w:commentRangeEnd w:id="6"/>
      <w:r w:rsidR="002058E0">
        <w:rPr>
          <w:rStyle w:val="CommentReference"/>
        </w:rPr>
        <w:commentReference w:id="6"/>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lastRenderedPageBreak/>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479A44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7"/>
      <w:r w:rsidRPr="00D53F4D">
        <w:rPr>
          <w:rFonts w:ascii="Nunito" w:eastAsia="Nunito" w:hAnsi="Nunito" w:cs="Nunito"/>
          <w:i/>
          <w:iCs/>
          <w:sz w:val="20"/>
          <w:szCs w:val="20"/>
        </w:rPr>
        <w:t xml:space="preserve"> The top two rows are the control group, and the bottom two rows were primed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task before completing the throwing task. Each dot is a trial and each facet of the plot is a single participant. Optimal participants would stand close to 0 at the smallest value of delta and close to 1 at the largest (see Appendix A). By this definition, no individual, in either group, chose optimal standing positions.</w:t>
      </w:r>
      <w:commentRangeEnd w:id="7"/>
      <w:r w:rsidR="00196303" w:rsidRPr="00D53F4D">
        <w:rPr>
          <w:rStyle w:val="CommentReference"/>
          <w:i/>
          <w:iCs/>
        </w:rPr>
        <w:commentReference w:id="7"/>
      </w:r>
    </w:p>
    <w:p w14:paraId="292AE9CD" w14:textId="628B6AA9"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as to stand at the midpoint, and if not, how far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w:t>
      </w:r>
      <w:r w:rsidR="001B7DCA">
        <w:rPr>
          <w:color w:val="F79646" w:themeColor="accent6"/>
          <w:sz w:val="20"/>
          <w:szCs w:val="20"/>
        </w:rPr>
        <w:lastRenderedPageBreak/>
        <w:t xml:space="preserve">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8"/>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w:t>
      </w:r>
      <w:proofErr w:type="gramStart"/>
      <w:r>
        <w:rPr>
          <w:sz w:val="20"/>
          <w:szCs w:val="20"/>
        </w:rPr>
        <w:t>for  the</w:t>
      </w:r>
      <w:proofErr w:type="gramEnd"/>
      <w:r>
        <w:rPr>
          <w:sz w:val="20"/>
          <w:szCs w:val="20"/>
        </w:rPr>
        <w:t xml:space="preserve"> other two distances.</w:t>
      </w:r>
      <w:commentRangeEnd w:id="8"/>
      <w:r w:rsidR="00D11D80">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lastRenderedPageBreak/>
        <w:t>Experiment 1B &amp; 1C: Replications</w:t>
      </w:r>
    </w:p>
    <w:p w14:paraId="38B6EEEC" w14:textId="28D8AFB5"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hoped to increase the chances of participants obtaining insight into the shared solution space for the </w:t>
      </w:r>
      <w:bookmarkStart w:id="9" w:name="_Hlk140588332"/>
      <w:r w:rsidR="00853738" w:rsidRPr="00853738">
        <w:rPr>
          <w:color w:val="E36C0A" w:themeColor="accent6" w:themeShade="BF"/>
          <w:sz w:val="20"/>
          <w:szCs w:val="20"/>
        </w:rPr>
        <w:t xml:space="preserve">reaching </w:t>
      </w:r>
      <w:bookmarkEnd w:id="9"/>
      <w:r w:rsidR="00853738" w:rsidRPr="00853738">
        <w:rPr>
          <w:color w:val="E36C0A" w:themeColor="accent6" w:themeShade="BF"/>
          <w:sz w:val="20"/>
          <w:szCs w:val="20"/>
        </w:rPr>
        <w:t xml:space="preserve">and throwing task by getting all participants to complete the throwing task twice, once before and once after the intervention. The results of both experiments are inline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ACD31E4" w:rsidR="008069AE" w:rsidRPr="008069AE" w:rsidRDefault="008069AE" w:rsidP="008069AE">
      <w:pPr>
        <w:spacing w:after="160" w:line="360" w:lineRule="auto"/>
        <w:rPr>
          <w:color w:val="E36C0A" w:themeColor="accent6" w:themeShade="BF"/>
          <w:sz w:val="20"/>
          <w:szCs w:val="20"/>
        </w:rPr>
      </w:pPr>
      <w:r>
        <w:rPr>
          <w:color w:val="E36C0A" w:themeColor="accent6" w:themeShade="BF"/>
          <w:sz w:val="20"/>
          <w:szCs w:val="20"/>
        </w:rPr>
        <w:t>Same rationale as Experiment 1A</w:t>
      </w:r>
      <w:r w:rsidRPr="008069AE">
        <w:rPr>
          <w:color w:val="E36C0A" w:themeColor="accent6" w:themeShade="BF"/>
          <w:sz w:val="20"/>
          <w:szCs w:val="20"/>
        </w:rPr>
        <w:t>.</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lastRenderedPageBreak/>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3688E611" w:rsidR="005931D0" w:rsidRPr="005931D0" w:rsidRDefault="005931D0" w:rsidP="00B16478">
      <w:pPr>
        <w:spacing w:after="160" w:line="360" w:lineRule="auto"/>
        <w:rPr>
          <w:color w:val="E36C0A" w:themeColor="accent6" w:themeShade="BF"/>
          <w:sz w:val="20"/>
          <w:szCs w:val="20"/>
        </w:rPr>
      </w:pPr>
      <w:r>
        <w:rPr>
          <w:color w:val="E36C0A" w:themeColor="accent6" w:themeShade="BF"/>
          <w:sz w:val="20"/>
          <w:szCs w:val="20"/>
        </w:rPr>
        <w:t xml:space="preserve">These two experiments will be </w:t>
      </w:r>
      <w:proofErr w:type="spellStart"/>
      <w:r>
        <w:rPr>
          <w:color w:val="E36C0A" w:themeColor="accent6" w:themeShade="BF"/>
          <w:sz w:val="20"/>
          <w:szCs w:val="20"/>
        </w:rPr>
        <w:t>analysed</w:t>
      </w:r>
      <w:proofErr w:type="spellEnd"/>
      <w:r>
        <w:rPr>
          <w:color w:val="E36C0A" w:themeColor="accent6" w:themeShade="BF"/>
          <w:sz w:val="20"/>
          <w:szCs w:val="20"/>
        </w:rPr>
        <w:t xml:space="preserve"> in the same manner as Experiment 1A. While each experiment will be </w:t>
      </w:r>
      <w:proofErr w:type="spellStart"/>
      <w:r>
        <w:rPr>
          <w:color w:val="E36C0A" w:themeColor="accent6" w:themeShade="BF"/>
          <w:sz w:val="20"/>
          <w:szCs w:val="20"/>
        </w:rPr>
        <w:t>analysed</w:t>
      </w:r>
      <w:proofErr w:type="spellEnd"/>
      <w:r>
        <w:rPr>
          <w:color w:val="E36C0A" w:themeColor="accent6" w:themeShade="BF"/>
          <w:sz w:val="20"/>
          <w:szCs w:val="20"/>
        </w:rPr>
        <w:t xml:space="preserve"> </w:t>
      </w:r>
      <w:proofErr w:type="gramStart"/>
      <w:r>
        <w:rPr>
          <w:color w:val="E36C0A" w:themeColor="accent6" w:themeShade="BF"/>
          <w:sz w:val="20"/>
          <w:szCs w:val="20"/>
        </w:rPr>
        <w:t>independently</w:t>
      </w:r>
      <w:proofErr w:type="gramEnd"/>
      <w:r>
        <w:rPr>
          <w:color w:val="E36C0A" w:themeColor="accent6" w:themeShade="BF"/>
          <w:sz w:val="20"/>
          <w:szCs w:val="20"/>
        </w:rPr>
        <w:t xml:space="preserve"> we will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1156D493" w14:textId="79959DCE" w:rsidR="00DA2F7A" w:rsidRDefault="00C84B8F" w:rsidP="00771A22">
      <w:pPr>
        <w:pStyle w:val="Heading1"/>
        <w:rPr>
          <w:color w:val="E36C0A" w:themeColor="accent6" w:themeShade="BF"/>
          <w:sz w:val="20"/>
          <w:szCs w:val="20"/>
        </w:rPr>
      </w:pPr>
      <w:r>
        <w:rPr>
          <w:color w:val="E36C0A" w:themeColor="accent6" w:themeShade="BF"/>
          <w:sz w:val="20"/>
          <w:szCs w:val="20"/>
        </w:rPr>
        <w:lastRenderedPageBreak/>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particularly in experiment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6CE377EA" w:rsidR="00F559BB" w:rsidRPr="00D0032E" w:rsidRDefault="002C3ADA" w:rsidP="00D0032E">
      <w:pPr>
        <w:pStyle w:val="Heading1"/>
        <w:rPr>
          <w:color w:val="E36C0A" w:themeColor="accent6" w:themeShade="BF"/>
          <w:sz w:val="20"/>
          <w:szCs w:val="20"/>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of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0"/>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0"/>
      <w:r>
        <w:rPr>
          <w:rStyle w:val="CommentReference"/>
        </w:rPr>
        <w:commentReference w:id="10"/>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lastRenderedPageBreak/>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62E47056" w14:textId="5DE14393" w:rsidR="008D1608" w:rsidRPr="00322C6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1"/>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w:t>
      </w:r>
      <w:proofErr w:type="gramStart"/>
      <w:r w:rsidR="00322C62" w:rsidRPr="00322C62">
        <w:rPr>
          <w:color w:val="E36C0A" w:themeColor="accent6" w:themeShade="BF"/>
          <w:sz w:val="20"/>
          <w:szCs w:val="20"/>
        </w:rPr>
        <w:t>computer based</w:t>
      </w:r>
      <w:proofErr w:type="gramEnd"/>
      <w:r w:rsidR="00322C62" w:rsidRPr="00322C62">
        <w:rPr>
          <w:color w:val="E36C0A" w:themeColor="accent6" w:themeShade="BF"/>
          <w:sz w:val="20"/>
          <w:szCs w:val="20"/>
        </w:rPr>
        <w:t xml:space="preserve">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1"/>
      <w:r w:rsidR="00322C62">
        <w:rPr>
          <w:rStyle w:val="CommentReference"/>
        </w:rPr>
        <w:commentReference w:id="11"/>
      </w:r>
      <w:r w:rsidR="00322C62" w:rsidRPr="00322C62">
        <w:rPr>
          <w:color w:val="000000" w:themeColor="text1"/>
          <w:sz w:val="20"/>
          <w:szCs w:val="20"/>
        </w:rPr>
        <w:t>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w:t>
      </w:r>
      <w:r>
        <w:rPr>
          <w:sz w:val="20"/>
          <w:szCs w:val="20"/>
        </w:rPr>
        <w:lastRenderedPageBreak/>
        <w:t xml:space="preserve">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w:t>
      </w:r>
      <w:r>
        <w:rPr>
          <w:sz w:val="20"/>
          <w:szCs w:val="20"/>
        </w:rPr>
        <w:lastRenderedPageBreak/>
        <w:t>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w:t>
      </w:r>
      <w:proofErr w:type="gramStart"/>
      <w:r>
        <w:rPr>
          <w:sz w:val="20"/>
          <w:szCs w:val="20"/>
        </w:rPr>
        <w:t>displayed</w:t>
      </w:r>
      <w:proofErr w:type="gramEnd"/>
      <w:r>
        <w:rPr>
          <w:sz w:val="20"/>
          <w:szCs w:val="20"/>
        </w:rPr>
        <w:t xml:space="preserve">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w:t>
      </w:r>
      <w:r>
        <w:rPr>
          <w:sz w:val="20"/>
          <w:szCs w:val="20"/>
        </w:rPr>
        <w:lastRenderedPageBreak/>
        <w:t xml:space="preserve">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2" w:name="_Hlk140589975"/>
      <w:r>
        <w:rPr>
          <w:b/>
          <w:sz w:val="24"/>
          <w:szCs w:val="24"/>
        </w:rPr>
        <w:t>Results</w:t>
      </w:r>
    </w:p>
    <w:bookmarkEnd w:id="12"/>
    <w:p w14:paraId="1693530E" w14:textId="77777777"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w:t>
      </w:r>
      <w:r>
        <w:rPr>
          <w:sz w:val="20"/>
          <w:szCs w:val="20"/>
        </w:rPr>
        <w:lastRenderedPageBreak/>
        <w:t>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w:t>
      </w:r>
      <w:r>
        <w:rPr>
          <w:rFonts w:ascii="Nunito" w:eastAsia="Nunito" w:hAnsi="Nunito" w:cs="Nunito"/>
          <w:sz w:val="20"/>
          <w:szCs w:val="20"/>
        </w:rPr>
        <w:lastRenderedPageBreak/>
        <w:t xml:space="preserve">(on which optimal estimates are based) to the decision </w:t>
      </w:r>
      <w:proofErr w:type="gramStart"/>
      <w:r>
        <w:rPr>
          <w:rFonts w:ascii="Nunito" w:eastAsia="Nunito" w:hAnsi="Nunito" w:cs="Nunito"/>
          <w:sz w:val="20"/>
          <w:szCs w:val="20"/>
        </w:rPr>
        <w:t>phase  that</w:t>
      </w:r>
      <w:proofErr w:type="gramEnd"/>
      <w:r>
        <w:rPr>
          <w:rFonts w:ascii="Nunito" w:eastAsia="Nunito" w:hAnsi="Nunito" w:cs="Nunito"/>
          <w:sz w:val="20"/>
          <w:szCs w:val="20"/>
        </w:rPr>
        <w:t xml:space="preserve">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2009). Similar conclusions have been drawn from studies showing that gesturing can influence strategies in problem-solving (</w:t>
      </w:r>
      <w:proofErr w:type="gramStart"/>
      <w:r>
        <w:rPr>
          <w:sz w:val="20"/>
          <w:szCs w:val="20"/>
        </w:rPr>
        <w:t>e.g.</w:t>
      </w:r>
      <w:proofErr w:type="gramEnd"/>
      <w:r>
        <w:rPr>
          <w:sz w:val="20"/>
          <w:szCs w:val="20"/>
        </w:rPr>
        <w:t xml:space="preserve">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E74BC1">
        <w:rPr>
          <w:sz w:val="20"/>
          <w:szCs w:val="20"/>
          <w:lang w:val="de-DE"/>
        </w:rPr>
        <w:t xml:space="preserve">Hesse, C., Kangur, K. &amp; </w:t>
      </w:r>
      <w:r w:rsidRPr="000A61B5">
        <w:rPr>
          <w:bCs/>
          <w:sz w:val="20"/>
          <w:szCs w:val="20"/>
          <w:lang w:val="de-DE"/>
        </w:rPr>
        <w:t>Hunt, A.R.</w:t>
      </w:r>
      <w:r w:rsidRPr="00E74BC1">
        <w:rPr>
          <w:sz w:val="20"/>
          <w:szCs w:val="20"/>
          <w:lang w:val="de-DE"/>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E74BC1">
        <w:rPr>
          <w:sz w:val="20"/>
          <w:szCs w:val="20"/>
          <w:lang w:val="de-DE"/>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7F162988" w:rsidR="00DF7874" w:rsidRPr="00E74BC1" w:rsidRDefault="00DF7874" w:rsidP="00B92266">
      <w:pPr>
        <w:spacing w:line="360" w:lineRule="auto"/>
        <w:ind w:left="567" w:hanging="567"/>
        <w:rPr>
          <w:rFonts w:cstheme="minorHAnsi"/>
          <w:bCs/>
          <w:i/>
          <w:i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E74BC1">
        <w:rPr>
          <w:rFonts w:cstheme="minorHAnsi"/>
          <w:bCs/>
          <w:i/>
          <w:iCs/>
          <w:color w:val="000000"/>
          <w:sz w:val="20"/>
          <w:szCs w:val="20"/>
        </w:rPr>
        <w:t>Memory and Cognition.</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E74BC1">
        <w:rPr>
          <w:color w:val="222222"/>
          <w:sz w:val="20"/>
          <w:szCs w:val="20"/>
          <w:shd w:val="clear" w:color="auto" w:fill="FFFFFF"/>
          <w:lang w:val="de-DE"/>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 xml:space="preserve">their </w:t>
      </w:r>
      <w:r w:rsidR="00F90EF7">
        <w:rPr>
          <w:sz w:val="20"/>
          <w:szCs w:val="20"/>
        </w:rPr>
        <w:lastRenderedPageBreak/>
        <w:t>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larke, Alasdair D F" w:date="2023-07-19T16:22:00Z" w:initials="CADF">
    <w:p w14:paraId="4DC4E492" w14:textId="77777777" w:rsidR="004C6F4A" w:rsidRDefault="004C6F4A" w:rsidP="00303AFA">
      <w:pPr>
        <w:pStyle w:val="CommentText"/>
      </w:pPr>
      <w:r>
        <w:rPr>
          <w:rStyle w:val="CommentReference"/>
        </w:rPr>
        <w:annotationRef/>
      </w:r>
      <w:r>
        <w:t>Where do we define this?</w:t>
      </w:r>
    </w:p>
  </w:comment>
  <w:comment w:id="6" w:author="Clarke, Alasdair D F" w:date="2023-07-18T15:11:00Z" w:initials="CADF">
    <w:p w14:paraId="50EA2C2E" w14:textId="30CABD42" w:rsidR="002058E0" w:rsidRDefault="002058E0" w:rsidP="0020679F">
      <w:pPr>
        <w:pStyle w:val="CommentText"/>
      </w:pPr>
      <w:r>
        <w:rPr>
          <w:rStyle w:val="CommentReference"/>
        </w:rPr>
        <w:annotationRef/>
      </w:r>
      <w:r>
        <w:t xml:space="preserve">Just double check we didn't see any weirdos? </w:t>
      </w:r>
    </w:p>
  </w:comment>
  <w:comment w:id="7" w:author="Clarke, Alasdair D F" w:date="2023-07-19T14:09:00Z" w:initials="CADF">
    <w:p w14:paraId="33591030" w14:textId="77777777" w:rsidR="00196303" w:rsidRDefault="00196303" w:rsidP="00DE7FD0">
      <w:pPr>
        <w:pStyle w:val="CommentText"/>
      </w:pPr>
      <w:r>
        <w:rPr>
          <w:rStyle w:val="CommentReference"/>
        </w:rPr>
        <w:annotationRef/>
      </w:r>
      <w:r>
        <w:t>Needs updated</w:t>
      </w:r>
    </w:p>
  </w:comment>
  <w:comment w:id="8"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10"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 w:id="11" w:author="Clarke, Alasdair D F" w:date="2023-08-21T09:43:00Z" w:initials="CADF">
    <w:p w14:paraId="6E67BD95" w14:textId="77777777"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C4E492" w15:done="0"/>
  <w15:commentEx w15:paraId="50EA2C2E" w15:done="0"/>
  <w15:commentEx w15:paraId="33591030" w15:done="0"/>
  <w15:commentEx w15:paraId="71E5CAA4"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8C52" w16cex:dateUtc="2023-07-19T15:22:00Z"/>
  <w16cex:commentExtensible w16cex:durableId="28612A39" w16cex:dateUtc="2023-07-18T14:11:00Z"/>
  <w16cex:commentExtensible w16cex:durableId="28626D33" w16cex:dateUtc="2023-07-19T13:09:00Z"/>
  <w16cex:commentExtensible w16cex:durableId="28638D39" w16cex:dateUtc="2023-07-20T09:38: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C4E492" w16cid:durableId="28628C52"/>
  <w16cid:commentId w16cid:paraId="50EA2C2E" w16cid:durableId="28612A39"/>
  <w16cid:commentId w16cid:paraId="33591030" w16cid:durableId="28626D33"/>
  <w16cid:commentId w16cid:paraId="71E5CAA4" w16cid:durableId="28638D39"/>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8C45A" w14:textId="77777777" w:rsidR="001B1E9D" w:rsidRDefault="001B1E9D">
      <w:pPr>
        <w:spacing w:line="240" w:lineRule="auto"/>
      </w:pPr>
      <w:r>
        <w:separator/>
      </w:r>
    </w:p>
  </w:endnote>
  <w:endnote w:type="continuationSeparator" w:id="0">
    <w:p w14:paraId="579BA1E4" w14:textId="77777777" w:rsidR="001B1E9D" w:rsidRDefault="001B1E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8300A" w14:textId="77777777" w:rsidR="001B1E9D" w:rsidRDefault="001B1E9D">
      <w:pPr>
        <w:spacing w:line="240" w:lineRule="auto"/>
      </w:pPr>
      <w:r>
        <w:separator/>
      </w:r>
    </w:p>
  </w:footnote>
  <w:footnote w:type="continuationSeparator" w:id="0">
    <w:p w14:paraId="30E8770D" w14:textId="77777777" w:rsidR="001B1E9D" w:rsidRDefault="001B1E9D">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45D56"/>
    <w:rsid w:val="00271BA8"/>
    <w:rsid w:val="00273A0E"/>
    <w:rsid w:val="002C3ADA"/>
    <w:rsid w:val="002C5511"/>
    <w:rsid w:val="003047C8"/>
    <w:rsid w:val="00322C62"/>
    <w:rsid w:val="0032318A"/>
    <w:rsid w:val="00332125"/>
    <w:rsid w:val="00393FF7"/>
    <w:rsid w:val="003B1257"/>
    <w:rsid w:val="003B56B9"/>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D3AB7"/>
    <w:rsid w:val="008069AE"/>
    <w:rsid w:val="00853738"/>
    <w:rsid w:val="008B7749"/>
    <w:rsid w:val="008D1608"/>
    <w:rsid w:val="00934230"/>
    <w:rsid w:val="00966120"/>
    <w:rsid w:val="009952EF"/>
    <w:rsid w:val="00AF645F"/>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54462"/>
    <w:rsid w:val="00F559BB"/>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1053</TotalTime>
  <Pages>28</Pages>
  <Words>11226</Words>
  <Characters>63992</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20</cp:revision>
  <dcterms:created xsi:type="dcterms:W3CDTF">2023-02-21T15:27:00Z</dcterms:created>
  <dcterms:modified xsi:type="dcterms:W3CDTF">2023-08-21T09:03:00Z</dcterms:modified>
</cp:coreProperties>
</file>