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01A38855"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w:t>
      </w:r>
      <w:r w:rsidR="000F0486">
        <w:rPr>
          <w:rStyle w:val="FootnoteReference"/>
          <w:color w:val="C0504D" w:themeColor="accent2"/>
          <w:sz w:val="20"/>
          <w:szCs w:val="20"/>
        </w:rPr>
        <w:footnoteReference w:id="3"/>
      </w:r>
      <w:r w:rsidR="000F0486">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are capable of resolving the dilemma in the reaching version of the task.</w:t>
      </w:r>
    </w:p>
    <w:p w14:paraId="2BC1AA58" w14:textId="77777777" w:rsidR="004063D4" w:rsidRDefault="004063D4" w:rsidP="00B92266">
      <w:pPr>
        <w:spacing w:line="360" w:lineRule="auto"/>
        <w:rPr>
          <w:sz w:val="20"/>
          <w:szCs w:val="20"/>
        </w:rPr>
      </w:pPr>
    </w:p>
    <w:p w14:paraId="67105D77" w14:textId="57FA14BD"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5F5620">
        <w:rPr>
          <w:color w:val="C0504D" w:themeColor="accent2"/>
          <w:sz w:val="20"/>
          <w:szCs w:val="20"/>
        </w:rPr>
        <w:t>these</w:t>
      </w:r>
      <w:r w:rsidRPr="00993335">
        <w:rPr>
          <w:color w:val="C0504D" w:themeColor="accent2"/>
          <w:sz w:val="20"/>
          <w:szCs w:val="20"/>
        </w:rPr>
        <w:t xml:space="preserve"> experiment</w:t>
      </w:r>
      <w:r w:rsidR="005F5620">
        <w:rPr>
          <w:color w:val="C0504D" w:themeColor="accent2"/>
          <w:sz w:val="20"/>
          <w:szCs w:val="20"/>
        </w:rPr>
        <w:t>s (1A, 1B and 1C)</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CA5650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E21176">
        <w:rPr>
          <w:noProof/>
        </w:rPr>
        <w:pict w14:anchorId="6A36E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35pt;height:187.35pt;mso-width-percent:0;mso-height-percent:0;mso-width-percent:0;mso-height-percent:0">
            <v:imagedata r:id="rId8" r:href="rId9"/>
          </v:shape>
        </w:pict>
      </w:r>
      <w:r w:rsidR="00000000">
        <w:rPr>
          <w:noProof/>
        </w:rPr>
        <w:fldChar w:fldCharType="end"/>
      </w:r>
      <w:r>
        <w:fldChar w:fldCharType="end"/>
      </w:r>
    </w:p>
    <w:p w14:paraId="4D118448" w14:textId="058AD316"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Appendix</w:t>
      </w:r>
      <w:r w:rsidR="000F0486">
        <w:rPr>
          <w:rFonts w:ascii="Nunito" w:eastAsia="Nunito" w:hAnsi="Nunito" w:cs="Nunito"/>
          <w:i/>
          <w:iCs/>
          <w:color w:val="C0504D" w:themeColor="accent2"/>
          <w:sz w:val="20"/>
          <w:szCs w:val="20"/>
        </w:rPr>
        <w:t xml:space="preserve"> A</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w:t>
      </w:r>
      <w:r w:rsidR="001B7DCA" w:rsidRPr="00E05943">
        <w:rPr>
          <w:color w:val="C0504D" w:themeColor="accent2"/>
          <w:sz w:val="20"/>
          <w:szCs w:val="20"/>
        </w:rPr>
        <w:lastRenderedPageBreak/>
        <w:t xml:space="preserve">[0.07,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E21176">
        <w:rPr>
          <w:noProof/>
        </w:rPr>
        <w:pict w14:anchorId="655D6CF8">
          <v:shape id="_x0000_i1026" type="#_x0000_t75" alt="Image" style="width:266.65pt;height:213.35pt;mso-width-percent:0;mso-height-percent:0;mso-width-percent:0;mso-height-percent:0">
            <v:imagedata r:id="rId11" r:href="rId12"/>
          </v:shape>
        </w:pict>
      </w:r>
      <w:r w:rsidR="00000000">
        <w:rPr>
          <w:noProof/>
        </w:rPr>
        <w:fldChar w:fldCharType="end"/>
      </w:r>
      <w:r>
        <w:fldChar w:fldCharType="end"/>
      </w:r>
    </w:p>
    <w:p w14:paraId="2169EF3E" w14:textId="53C0226C"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031281" w:rsidRPr="00B53B47">
        <w:rPr>
          <w:i/>
          <w:iCs/>
          <w:color w:val="C0504D" w:themeColor="accent2"/>
        </w:rPr>
        <w:t>There is no evidence that the primed group has higher accuracy than the control group</w:t>
      </w:r>
      <w:r w:rsidR="00B53B47" w:rsidRPr="00B53B47">
        <w:rPr>
          <w:i/>
          <w:iCs/>
          <w:color w:val="C0504D" w:themeColor="accent2"/>
        </w:rPr>
        <w:t xml:space="preserv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lastRenderedPageBreak/>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lastRenderedPageBreak/>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249240E0"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for 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lastRenderedPageBreak/>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91B36"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subtracted the distribution of parameter estimates in one group from another and reported the 95% HDPIs in Table 1.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 xml:space="preserve">report this </w:t>
      </w:r>
      <w:r w:rsidR="0021153B" w:rsidRPr="009F296E">
        <w:rPr>
          <w:i/>
          <w:iCs/>
          <w:color w:val="C0504D" w:themeColor="accent2"/>
          <w:sz w:val="20"/>
          <w:szCs w:val="20"/>
        </w:rPr>
        <w:lastRenderedPageBreak/>
        <w:t xml:space="preserve">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optimally-performing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E21176">
        <w:rPr>
          <w:noProof/>
        </w:rPr>
        <w:pict w14:anchorId="1AE38253">
          <v:shape id="_x0000_i1025" type="#_x0000_t75" alt="Image" style="width:467.35pt;height:168pt;mso-width-percent:0;mso-height-percent:0;mso-width-percent:0;mso-height-percent:0">
            <v:imagedata r:id="rId14" r:href="rId15"/>
          </v:shape>
        </w:pict>
      </w:r>
      <w:r w:rsidR="00000000">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5D9CEAA"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It is our 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population </w:t>
      </w:r>
      <w:r w:rsidR="00183644" w:rsidRPr="008665FC">
        <w:rPr>
          <w:color w:val="C0504D" w:themeColor="accent2"/>
          <w:sz w:val="20"/>
          <w:szCs w:val="20"/>
        </w:rPr>
        <w:lastRenderedPageBreak/>
        <w:t>as a whole</w:t>
      </w:r>
      <w:r w:rsidR="00E10321" w:rsidRPr="008665FC">
        <w:rPr>
          <w:color w:val="C0504D" w:themeColor="accent2"/>
          <w:sz w:val="20"/>
          <w:szCs w:val="20"/>
        </w:rPr>
        <w:t xml:space="preserve">. </w:t>
      </w:r>
      <w:r w:rsidR="009F296E">
        <w:rPr>
          <w:color w:val="C0504D" w:themeColor="accent2"/>
          <w:sz w:val="20"/>
          <w:szCs w:val="20"/>
        </w:rPr>
        <w:t>As we can see from the experiment reported in Appendix</w:t>
      </w:r>
      <w:r w:rsidR="000F0486">
        <w:rPr>
          <w:color w:val="C0504D" w:themeColor="accent2"/>
          <w:sz w:val="20"/>
          <w:szCs w:val="20"/>
        </w:rPr>
        <w:t xml:space="preserve"> A</w:t>
      </w:r>
      <w:r w:rsidR="009F296E">
        <w:rPr>
          <w:color w:val="C0504D" w:themeColor="accent2"/>
          <w:sz w:val="20"/>
          <w:szCs w:val="20"/>
        </w:rPr>
        <w:t xml:space="preserve">,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60C806D7"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xml:space="preserve">, it has long been known that learning and memory are context-specific (e.g. </w:t>
      </w:r>
      <w:proofErr w:type="spellStart"/>
      <w:r w:rsidR="002E26BA">
        <w:rPr>
          <w:color w:val="C0504D" w:themeColor="accent2"/>
          <w:sz w:val="20"/>
          <w:szCs w:val="20"/>
        </w:rPr>
        <w:t>Carr</w:t>
      </w:r>
      <w:proofErr w:type="spellEnd"/>
      <w:r w:rsidR="002E26BA">
        <w:rPr>
          <w:color w:val="C0504D" w:themeColor="accent2"/>
          <w:sz w:val="20"/>
          <w:szCs w:val="20"/>
        </w:rPr>
        <w:t>,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11C04B6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w:t>
      </w:r>
      <w:r>
        <w:rPr>
          <w:sz w:val="20"/>
          <w:szCs w:val="20"/>
        </w:rPr>
        <w:lastRenderedPageBreak/>
        <w:t xml:space="preserve">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5989FE8A"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Pr>
          <w:sz w:val="20"/>
          <w:szCs w:val="20"/>
        </w:rPr>
        <w:t xml:space="preserve">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lastRenderedPageBreak/>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The purpose of this phase was to fit a logistic regression line to each individual’s acuity over distance, to estimate the distance from fixation at which each person’s accuracy falls below 75%. 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 xml:space="preserve">for each participant relative to their own </w:t>
      </w:r>
      <w:r w:rsidR="00235977">
        <w:rPr>
          <w:color w:val="C0504D" w:themeColor="accent2"/>
          <w:sz w:val="20"/>
          <w:szCs w:val="20"/>
        </w:rPr>
        <w:t>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26ACB763"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w:t>
      </w:r>
      <w:r w:rsidR="00FE0B0F" w:rsidRPr="00DD0D0B">
        <w:rPr>
          <w:color w:val="C0504D" w:themeColor="accent2"/>
          <w:sz w:val="20"/>
          <w:szCs w:val="20"/>
        </w:rPr>
        <w:lastRenderedPageBreak/>
        <w:t xml:space="preserve">following the ideal decision strategy. </w:t>
      </w:r>
      <w:r w:rsidR="00B411D8">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because a) this aligns with the analysis in Experiment 1 and b)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sidR="00B411D8">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sidR="00B411D8">
        <w:rPr>
          <w:color w:val="C0504D" w:themeColor="accent2"/>
          <w:sz w:val="20"/>
          <w:szCs w:val="20"/>
        </w:rPr>
        <w:t xml:space="preserve">conclusions </w:t>
      </w:r>
      <w:r w:rsidR="00DB01C5">
        <w:rPr>
          <w:color w:val="C0504D" w:themeColor="accent2"/>
          <w:sz w:val="20"/>
          <w:szCs w:val="20"/>
        </w:rPr>
        <w:t xml:space="preserve">one would </w:t>
      </w:r>
      <w:r w:rsidR="00B411D8">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sidR="00B411D8">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overall effect of box separation on fixation choices in Block 2, and no particular increase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14EB353E"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wide </w:t>
      </w:r>
      <w:proofErr w:type="spellStart"/>
      <w:r w:rsidR="0037174D" w:rsidRPr="00962B33">
        <w:rPr>
          <w:rFonts w:ascii="Nunito" w:eastAsia="Nunito" w:hAnsi="Nunito" w:cs="Nunito"/>
          <w:color w:val="C0504D" w:themeColor="accent2"/>
          <w:sz w:val="20"/>
          <w:szCs w:val="20"/>
        </w:rPr>
        <w:t>coloured</w:t>
      </w:r>
      <w:proofErr w:type="spellEnd"/>
      <w:r w:rsidR="0037174D" w:rsidRPr="00962B33">
        <w:rPr>
          <w:rFonts w:ascii="Nunito" w:eastAsia="Nunito" w:hAnsi="Nunito" w:cs="Nunito"/>
          <w:color w:val="C0504D" w:themeColor="accent2"/>
          <w:sz w:val="20"/>
          <w:szCs w:val="20"/>
        </w:rPr>
        <w:t xml:space="preserve"> ribbons indicate the 90% HPDI for the fixed effect component of our </w:t>
      </w:r>
      <w:proofErr w:type="spellStart"/>
      <w:r w:rsidR="0037174D" w:rsidRPr="00962B33">
        <w:rPr>
          <w:rFonts w:ascii="Nunito" w:eastAsia="Nunito" w:hAnsi="Nunito" w:cs="Nunito"/>
          <w:color w:val="C0504D" w:themeColor="accent2"/>
          <w:sz w:val="20"/>
          <w:szCs w:val="20"/>
        </w:rPr>
        <w:t>generlalised</w:t>
      </w:r>
      <w:proofErr w:type="spellEnd"/>
      <w:r w:rsidR="0037174D" w:rsidRPr="00962B33">
        <w:rPr>
          <w:rFonts w:ascii="Nunito" w:eastAsia="Nunito" w:hAnsi="Nunito" w:cs="Nunito"/>
          <w:color w:val="C0504D" w:themeColor="accent2"/>
          <w:sz w:val="20"/>
          <w:szCs w:val="20"/>
        </w:rPr>
        <w:t xml:space="preserve"> linear model.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37B35DBE" w:rsidR="00B54B24" w:rsidRDefault="00FB4B01" w:rsidP="00B92266">
      <w:pPr>
        <w:spacing w:after="160" w:line="360" w:lineRule="auto"/>
        <w:rPr>
          <w:b/>
          <w:sz w:val="24"/>
          <w:szCs w:val="24"/>
        </w:rPr>
      </w:pPr>
      <w:r>
        <w:rPr>
          <w:b/>
          <w:sz w:val="24"/>
          <w:szCs w:val="24"/>
        </w:rPr>
        <w:t>Appendix</w:t>
      </w:r>
      <w:r w:rsidR="00C12E6B">
        <w:rPr>
          <w:b/>
          <w:sz w:val="24"/>
          <w:szCs w:val="24"/>
        </w:rPr>
        <w:t xml:space="preserve"> A</w:t>
      </w:r>
      <w:r>
        <w:rPr>
          <w:b/>
          <w:sz w:val="24"/>
          <w:szCs w:val="24"/>
        </w:rPr>
        <w:t xml:space="preserve">: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lastRenderedPageBreak/>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w:t>
      </w:r>
      <w:r>
        <w:rPr>
          <w:sz w:val="20"/>
          <w:szCs w:val="20"/>
        </w:rPr>
        <w:lastRenderedPageBreak/>
        <w:t>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lastRenderedPageBreak/>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9A064" w14:textId="77777777" w:rsidR="00E21176" w:rsidRDefault="00E21176">
      <w:pPr>
        <w:spacing w:line="240" w:lineRule="auto"/>
      </w:pPr>
      <w:r>
        <w:separator/>
      </w:r>
    </w:p>
  </w:endnote>
  <w:endnote w:type="continuationSeparator" w:id="0">
    <w:p w14:paraId="16FED765" w14:textId="77777777" w:rsidR="00E21176" w:rsidRDefault="00E21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C7DF6" w14:textId="77777777" w:rsidR="00E21176" w:rsidRDefault="00E21176">
      <w:pPr>
        <w:spacing w:line="240" w:lineRule="auto"/>
      </w:pPr>
      <w:r>
        <w:separator/>
      </w:r>
    </w:p>
  </w:footnote>
  <w:footnote w:type="continuationSeparator" w:id="0">
    <w:p w14:paraId="2022A42A" w14:textId="77777777" w:rsidR="00E21176" w:rsidRDefault="00E21176">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 w:id="3">
    <w:p w14:paraId="1641CE23" w14:textId="7CF5A747" w:rsidR="000F0486" w:rsidRPr="000F0486" w:rsidRDefault="000F0486">
      <w:pPr>
        <w:pStyle w:val="FootnoteText"/>
        <w:rPr>
          <w:lang w:val="en-GB"/>
        </w:rPr>
      </w:pPr>
      <w:r>
        <w:rPr>
          <w:rStyle w:val="FootnoteReference"/>
        </w:rPr>
        <w:footnoteRef/>
      </w:r>
      <w:r>
        <w:t xml:space="preserve"> </w:t>
      </w:r>
      <w:r w:rsidRPr="00791E26">
        <w:rPr>
          <w:color w:val="C0504D" w:themeColor="accent2"/>
        </w:rPr>
        <w:t>To be confident that</w:t>
      </w:r>
      <w:r>
        <w:rPr>
          <w:color w:val="C0504D" w:themeColor="accent2"/>
        </w:rPr>
        <w:t xml:space="preserve"> the source of this limitation is</w:t>
      </w:r>
      <w:r w:rsidRPr="00791E26">
        <w:rPr>
          <w:color w:val="C0504D" w:themeColor="accent2"/>
        </w:rPr>
        <w:t xml:space="preserve"> a failure to recognize the solution rather than a failure to execute it effectively, Appendix A presents </w:t>
      </w:r>
      <w:r>
        <w:rPr>
          <w:color w:val="C0504D" w:themeColor="accent2"/>
        </w:rPr>
        <w:t>a control experiment in which we</w:t>
      </w:r>
      <w:r w:rsidRPr="00791E26">
        <w:rPr>
          <w:color w:val="C0504D" w:themeColor="accent2"/>
        </w:rPr>
        <w:t xml:space="preserve"> </w:t>
      </w:r>
      <w:r>
        <w:rPr>
          <w:color w:val="C0504D" w:themeColor="accent2"/>
        </w:rPr>
        <w:t>test</w:t>
      </w:r>
      <w:r w:rsidRPr="00791E26">
        <w:rPr>
          <w:color w:val="C0504D" w:themeColor="accent2"/>
        </w:rPr>
        <w:t xml:space="preserve"> non-naive participants </w:t>
      </w:r>
      <w:r>
        <w:rPr>
          <w:color w:val="C0504D" w:themeColor="accent2"/>
        </w:rPr>
        <w:t>under the same conditions used to test for transfer in Experiments 1 and 2</w:t>
      </w:r>
      <w:r w:rsidRPr="00791E26">
        <w:rPr>
          <w:color w:val="C0504D" w:themeColor="accent2"/>
        </w:rPr>
        <w:t>.</w:t>
      </w:r>
      <w:r>
        <w:rPr>
          <w:color w:val="F79646" w:themeColor="accent6"/>
        </w:rPr>
        <w:t xml:space="preserve"> </w:t>
      </w:r>
      <w:r w:rsidRPr="00B65062">
        <w:rPr>
          <w:color w:val="C0504D" w:themeColor="accent2"/>
        </w:rPr>
        <w:t>The</w:t>
      </w:r>
      <w:r>
        <w:rPr>
          <w:color w:val="C0504D" w:themeColor="accent2"/>
        </w:rPr>
        <w:t xml:space="preserve">se participants, whose declarative knowledge includes a generic rule for solving the focus-divide dilemma, can execute the rule </w:t>
      </w:r>
      <w:r w:rsidRPr="00791E26">
        <w:rPr>
          <w:color w:val="C0504D" w:themeColor="accent2"/>
        </w:rPr>
        <w:t>easily</w:t>
      </w:r>
      <w:r>
        <w:rPr>
          <w:color w:val="C0504D" w:themeColor="accent2"/>
        </w:rPr>
        <w:t xml:space="preserve"> under these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61EC"/>
    <w:rsid w:val="00131592"/>
    <w:rsid w:val="00135FEF"/>
    <w:rsid w:val="001435F8"/>
    <w:rsid w:val="00143F6A"/>
    <w:rsid w:val="00160CD1"/>
    <w:rsid w:val="00166102"/>
    <w:rsid w:val="00170BAA"/>
    <w:rsid w:val="00175B64"/>
    <w:rsid w:val="001818FD"/>
    <w:rsid w:val="00183644"/>
    <w:rsid w:val="00196303"/>
    <w:rsid w:val="001B1E9D"/>
    <w:rsid w:val="001B7DCA"/>
    <w:rsid w:val="001C2753"/>
    <w:rsid w:val="001D521B"/>
    <w:rsid w:val="001E2755"/>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3047C8"/>
    <w:rsid w:val="00315CC3"/>
    <w:rsid w:val="00322C62"/>
    <w:rsid w:val="0032318A"/>
    <w:rsid w:val="00327375"/>
    <w:rsid w:val="003318CC"/>
    <w:rsid w:val="00332125"/>
    <w:rsid w:val="0036640A"/>
    <w:rsid w:val="0037174D"/>
    <w:rsid w:val="00373942"/>
    <w:rsid w:val="00384408"/>
    <w:rsid w:val="003925F2"/>
    <w:rsid w:val="00393FF7"/>
    <w:rsid w:val="00395D02"/>
    <w:rsid w:val="003A1D60"/>
    <w:rsid w:val="003B1257"/>
    <w:rsid w:val="003B56B9"/>
    <w:rsid w:val="003C44B4"/>
    <w:rsid w:val="003C7237"/>
    <w:rsid w:val="003F17D3"/>
    <w:rsid w:val="004063D4"/>
    <w:rsid w:val="00413B92"/>
    <w:rsid w:val="00414186"/>
    <w:rsid w:val="00421B8B"/>
    <w:rsid w:val="00426A9E"/>
    <w:rsid w:val="00430610"/>
    <w:rsid w:val="00440928"/>
    <w:rsid w:val="00443DB0"/>
    <w:rsid w:val="00463223"/>
    <w:rsid w:val="004663ED"/>
    <w:rsid w:val="004858EC"/>
    <w:rsid w:val="00486EE1"/>
    <w:rsid w:val="0049683C"/>
    <w:rsid w:val="004A3F21"/>
    <w:rsid w:val="004B5C02"/>
    <w:rsid w:val="004C6F4A"/>
    <w:rsid w:val="004F7166"/>
    <w:rsid w:val="00524845"/>
    <w:rsid w:val="0052679D"/>
    <w:rsid w:val="00532985"/>
    <w:rsid w:val="00541213"/>
    <w:rsid w:val="005459E8"/>
    <w:rsid w:val="005543CC"/>
    <w:rsid w:val="00570477"/>
    <w:rsid w:val="0057559F"/>
    <w:rsid w:val="0057798E"/>
    <w:rsid w:val="005931D0"/>
    <w:rsid w:val="005E5AF0"/>
    <w:rsid w:val="005E666F"/>
    <w:rsid w:val="005F0599"/>
    <w:rsid w:val="005F5620"/>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3A01"/>
    <w:rsid w:val="007A586E"/>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34230"/>
    <w:rsid w:val="00935836"/>
    <w:rsid w:val="009422BB"/>
    <w:rsid w:val="00955DAB"/>
    <w:rsid w:val="00962B33"/>
    <w:rsid w:val="00966120"/>
    <w:rsid w:val="009805DB"/>
    <w:rsid w:val="009826D0"/>
    <w:rsid w:val="0099310D"/>
    <w:rsid w:val="00993335"/>
    <w:rsid w:val="00993C2E"/>
    <w:rsid w:val="009952EF"/>
    <w:rsid w:val="009E6BB1"/>
    <w:rsid w:val="009E6D91"/>
    <w:rsid w:val="009E773D"/>
    <w:rsid w:val="009F0E33"/>
    <w:rsid w:val="009F296E"/>
    <w:rsid w:val="00A22315"/>
    <w:rsid w:val="00A360A7"/>
    <w:rsid w:val="00A423A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E1EDF"/>
    <w:rsid w:val="00EF2D0F"/>
    <w:rsid w:val="00F070F2"/>
    <w:rsid w:val="00F2363A"/>
    <w:rsid w:val="00F54462"/>
    <w:rsid w:val="00F559BB"/>
    <w:rsid w:val="00F83934"/>
    <w:rsid w:val="00F90EF7"/>
    <w:rsid w:val="00F93D46"/>
    <w:rsid w:val="00FA2F94"/>
    <w:rsid w:val="00FB2A7B"/>
    <w:rsid w:val="00FB4B01"/>
    <w:rsid w:val="00FC45B2"/>
    <w:rsid w:val="00FC6BA6"/>
    <w:rsid w:val="00FD095C"/>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3576</TotalTime>
  <Pages>34</Pages>
  <Words>14111</Words>
  <Characters>80438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88</cp:revision>
  <dcterms:created xsi:type="dcterms:W3CDTF">2023-02-21T15:27:00Z</dcterms:created>
  <dcterms:modified xsi:type="dcterms:W3CDTF">2025-05-02T16:13:00Z</dcterms:modified>
</cp:coreProperties>
</file>