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7BD265E2"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w:t>
      </w:r>
      <w:r w:rsidR="006E42A6" w:rsidRPr="006E42A6">
        <w:rPr>
          <w:color w:val="F79646" w:themeColor="accent6"/>
          <w:sz w:val="20"/>
          <w:szCs w:val="20"/>
        </w:rPr>
        <w:t>Our aim was to try to</w:t>
      </w:r>
      <w:r w:rsidRPr="006E42A6">
        <w:rPr>
          <w:color w:val="F79646" w:themeColor="accent6"/>
          <w:sz w:val="20"/>
          <w:szCs w:val="20"/>
        </w:rPr>
        <w:t xml:space="preserve"> shift participants from sub-optimal, variable responses to following </w:t>
      </w:r>
      <w:r w:rsidR="006E42A6">
        <w:rPr>
          <w:color w:val="F79646" w:themeColor="accent6"/>
          <w:sz w:val="20"/>
          <w:szCs w:val="20"/>
        </w:rPr>
        <w:t>the simple</w:t>
      </w:r>
      <w:r w:rsidRPr="006E42A6">
        <w:rPr>
          <w:color w:val="F79646" w:themeColor="accent6"/>
          <w:sz w:val="20"/>
          <w:szCs w:val="20"/>
        </w:rPr>
        <w:t xml:space="preserve"> fixed, rational </w:t>
      </w:r>
      <w:r w:rsidR="006E42A6">
        <w:rPr>
          <w:color w:val="F79646" w:themeColor="accent6"/>
          <w:sz w:val="20"/>
          <w:szCs w:val="20"/>
        </w:rPr>
        <w:t>strategy</w:t>
      </w:r>
      <w:r w:rsidRPr="006E42A6">
        <w:rPr>
          <w:color w:val="F79646" w:themeColor="accent6"/>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w:t>
      </w:r>
      <w:proofErr w:type="gramStart"/>
      <w:r w:rsidRPr="00E42BB8">
        <w:rPr>
          <w:color w:val="000000"/>
          <w:sz w:val="20"/>
          <w:szCs w:val="20"/>
        </w:rPr>
        <w:t>to choice</w:t>
      </w:r>
      <w:proofErr w:type="gramEnd"/>
      <w:r w:rsidRPr="00E42BB8">
        <w:rPr>
          <w:color w:val="000000"/>
          <w:sz w:val="20"/>
          <w:szCs w:val="20"/>
        </w:rPr>
        <w:t xml:space="preserv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w:t>
      </w:r>
      <w:proofErr w:type="gramStart"/>
      <w:r w:rsidR="00F83934">
        <w:rPr>
          <w:color w:val="E36C0A" w:themeColor="accent6" w:themeShade="BF"/>
          <w:sz w:val="20"/>
          <w:szCs w:val="20"/>
        </w:rPr>
        <w:t>e.g.</w:t>
      </w:r>
      <w:proofErr w:type="gramEnd"/>
      <w:r w:rsidR="00F83934">
        <w:rPr>
          <w:color w:val="E36C0A" w:themeColor="accent6" w:themeShade="BF"/>
          <w:sz w:val="20"/>
          <w:szCs w:val="20"/>
        </w:rPr>
        <w:t xml:space="preserve">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21160B84" w:rsidR="00B07B38" w:rsidRDefault="00FB4B01" w:rsidP="00B92266">
      <w:pPr>
        <w:spacing w:line="360" w:lineRule="auto"/>
        <w:rPr>
          <w:sz w:val="20"/>
          <w:szCs w:val="20"/>
        </w:rPr>
      </w:pPr>
      <w:r>
        <w:rPr>
          <w:sz w:val="20"/>
          <w:szCs w:val="20"/>
        </w:rPr>
        <w:t>The well-</w:t>
      </w:r>
      <w:proofErr w:type="gramStart"/>
      <w:r>
        <w:rPr>
          <w:sz w:val="20"/>
          <w:szCs w:val="20"/>
        </w:rPr>
        <w:t>known  “</w:t>
      </w:r>
      <w:proofErr w:type="gramEnd"/>
      <w:r>
        <w:rPr>
          <w:sz w:val="20"/>
          <w:szCs w:val="20"/>
        </w:rPr>
        <w:t xml:space="preserve">dual-systems” models (e.g. Stanovich &amp; West, 2000) suggest cognition can take a rapid, automatic route as well as a more deliberative, logic-based route. These systems represent a very broad categorical distinction in cognitive reasoning and are normally applied to judgment and </w:t>
      </w:r>
      <w:proofErr w:type="gramStart"/>
      <w:r>
        <w:rPr>
          <w:sz w:val="20"/>
          <w:szCs w:val="20"/>
        </w:rPr>
        <w:t>problem solving</w:t>
      </w:r>
      <w:proofErr w:type="gramEnd"/>
      <w:r>
        <w:rPr>
          <w:sz w:val="20"/>
          <w:szCs w:val="20"/>
        </w:rPr>
        <w:t xml:space="preserve"> contexts. A more germane theoretical framework for the simple, repeated choices participants </w:t>
      </w:r>
      <w:proofErr w:type="gramStart"/>
      <w:r>
        <w:rPr>
          <w:sz w:val="20"/>
          <w:szCs w:val="20"/>
        </w:rPr>
        <w:t>make</w:t>
      </w:r>
      <w:proofErr w:type="gramEnd"/>
      <w:r>
        <w:rPr>
          <w:sz w:val="20"/>
          <w:szCs w:val="20"/>
        </w:rPr>
        <w:t xml:space="preserv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w:t>
      </w:r>
      <w:proofErr w:type="gramStart"/>
      <w:r>
        <w:rPr>
          <w:sz w:val="20"/>
          <w:szCs w:val="20"/>
        </w:rPr>
        <w:t>e.g.</w:t>
      </w:r>
      <w:proofErr w:type="gramEnd"/>
      <w:r>
        <w:rPr>
          <w:sz w:val="20"/>
          <w:szCs w:val="20"/>
        </w:rPr>
        <w:t xml:space="preserve">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7777777"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717A5A83" w:rsidR="00935836" w:rsidRPr="00935836" w:rsidRDefault="00935836" w:rsidP="00B92266">
      <w:pPr>
        <w:spacing w:line="360" w:lineRule="auto"/>
        <w:rPr>
          <w:color w:val="E36C0A" w:themeColor="accent6" w:themeShade="BF"/>
          <w:sz w:val="20"/>
          <w:szCs w:val="20"/>
        </w:rPr>
      </w:pPr>
      <w:r w:rsidRPr="00935836">
        <w:rPr>
          <w:color w:val="E36C0A" w:themeColor="accent6" w:themeShade="BF"/>
          <w:sz w:val="20"/>
          <w:szCs w:val="20"/>
        </w:rPr>
        <w:t xml:space="preserve">Transfer of learning across contexts in humans has been examined in a wide range of subfields. In humans </w:t>
      </w:r>
      <w:r w:rsidR="004A3F21">
        <w:rPr>
          <w:color w:val="E36C0A" w:themeColor="accent6" w:themeShade="BF"/>
          <w:sz w:val="20"/>
          <w:szCs w:val="20"/>
        </w:rPr>
        <w:t>(</w:t>
      </w:r>
      <w:r w:rsidRPr="00935836">
        <w:rPr>
          <w:color w:val="E36C0A" w:themeColor="accent6" w:themeShade="BF"/>
          <w:sz w:val="20"/>
          <w:szCs w:val="20"/>
        </w:rPr>
        <w:t>as in other species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a</w:t>
      </w:r>
      <w:r w:rsidRPr="00935836">
        <w:rPr>
          <w:color w:val="E36C0A" w:themeColor="accent6" w:themeShade="BF"/>
          <w:sz w:val="20"/>
          <w:szCs w:val="20"/>
        </w:rPr>
        <w:t xml:space="preserve"> </w:t>
      </w:r>
      <w:r w:rsidR="004A3F21">
        <w:rPr>
          <w:color w:val="E36C0A" w:themeColor="accent6" w:themeShade="BF"/>
          <w:sz w:val="20"/>
          <w:szCs w:val="20"/>
        </w:rPr>
        <w:t>common</w:t>
      </w:r>
      <w:r w:rsidRPr="00935836">
        <w:rPr>
          <w:color w:val="E36C0A" w:themeColor="accent6" w:themeShade="BF"/>
          <w:sz w:val="20"/>
          <w:szCs w:val="20"/>
        </w:rPr>
        <w:t xml:space="preserve"> </w:t>
      </w:r>
      <w:r>
        <w:rPr>
          <w:color w:val="E36C0A" w:themeColor="accent6" w:themeShade="BF"/>
          <w:sz w:val="20"/>
          <w:szCs w:val="20"/>
        </w:rPr>
        <w:t xml:space="preserve">observation </w:t>
      </w:r>
      <w:r w:rsidRPr="00935836">
        <w:rPr>
          <w:color w:val="E36C0A" w:themeColor="accent6" w:themeShade="BF"/>
          <w:sz w:val="20"/>
          <w:szCs w:val="20"/>
        </w:rPr>
        <w:t xml:space="preserve">is that improvements in performance that come with </w:t>
      </w:r>
      <w:r w:rsidR="008312ED">
        <w:rPr>
          <w:color w:val="E36C0A" w:themeColor="accent6" w:themeShade="BF"/>
          <w:sz w:val="20"/>
          <w:szCs w:val="20"/>
        </w:rPr>
        <w:t>experience</w:t>
      </w:r>
      <w:r w:rsidRPr="00935836">
        <w:rPr>
          <w:color w:val="E36C0A" w:themeColor="accent6" w:themeShade="BF"/>
          <w:sz w:val="20"/>
          <w:szCs w:val="20"/>
        </w:rPr>
        <w:t xml:space="preserve"> </w:t>
      </w:r>
      <w:r w:rsidR="008312ED">
        <w:rPr>
          <w:color w:val="E36C0A" w:themeColor="accent6" w:themeShade="BF"/>
          <w:sz w:val="20"/>
          <w:szCs w:val="20"/>
        </w:rPr>
        <w:t>in</w:t>
      </w:r>
      <w:r w:rsidRPr="00935836">
        <w:rPr>
          <w:color w:val="E36C0A" w:themeColor="accent6" w:themeShade="BF"/>
          <w:sz w:val="20"/>
          <w:szCs w:val="20"/>
        </w:rPr>
        <w:t xml:space="preserve"> </w:t>
      </w:r>
      <w:r w:rsidR="008312ED">
        <w:rPr>
          <w:color w:val="E36C0A" w:themeColor="accent6" w:themeShade="BF"/>
          <w:sz w:val="20"/>
          <w:szCs w:val="20"/>
        </w:rPr>
        <w:t xml:space="preserve">solving complex </w:t>
      </w:r>
      <w:r w:rsidRPr="00935836">
        <w:rPr>
          <w:color w:val="E36C0A" w:themeColor="accent6" w:themeShade="BF"/>
          <w:sz w:val="20"/>
          <w:szCs w:val="20"/>
        </w:rPr>
        <w:t>problem</w:t>
      </w:r>
      <w:r w:rsidR="008312ED">
        <w:rPr>
          <w:color w:val="E36C0A" w:themeColor="accent6" w:themeShade="BF"/>
          <w:sz w:val="20"/>
          <w:szCs w:val="20"/>
        </w:rPr>
        <w:t>s</w:t>
      </w:r>
      <w:r w:rsidRPr="00935836">
        <w:rPr>
          <w:color w:val="E36C0A" w:themeColor="accent6" w:themeShade="BF"/>
          <w:sz w:val="20"/>
          <w:szCs w:val="20"/>
        </w:rPr>
        <w:t xml:space="preserve"> are </w:t>
      </w:r>
      <w:r w:rsidR="004A3F21">
        <w:rPr>
          <w:color w:val="E36C0A" w:themeColor="accent6" w:themeShade="BF"/>
          <w:sz w:val="20"/>
          <w:szCs w:val="20"/>
        </w:rPr>
        <w:t xml:space="preserve">usually </w:t>
      </w:r>
      <w:r w:rsidRPr="00935836">
        <w:rPr>
          <w:color w:val="E36C0A" w:themeColor="accent6" w:themeShade="BF"/>
          <w:sz w:val="20"/>
          <w:szCs w:val="20"/>
        </w:rPr>
        <w:t>context-specific and resistant to transfer (</w:t>
      </w:r>
      <w:proofErr w:type="gramStart"/>
      <w:r w:rsidRPr="00935836">
        <w:rPr>
          <w:color w:val="E36C0A" w:themeColor="accent6" w:themeShade="BF"/>
          <w:sz w:val="20"/>
          <w:szCs w:val="20"/>
        </w:rPr>
        <w:t>e.g.</w:t>
      </w:r>
      <w:proofErr w:type="gramEnd"/>
      <w:r w:rsidRPr="00935836">
        <w:rPr>
          <w:color w:val="E36C0A" w:themeColor="accent6" w:themeShade="BF"/>
          <w:sz w:val="20"/>
          <w:szCs w:val="20"/>
        </w:rPr>
        <w:t xml:space="preserve"> </w:t>
      </w:r>
      <w:proofErr w:type="spellStart"/>
      <w:r w:rsidRPr="00935836">
        <w:rPr>
          <w:color w:val="E36C0A" w:themeColor="accent6" w:themeShade="BF"/>
          <w:sz w:val="20"/>
          <w:szCs w:val="20"/>
        </w:rPr>
        <w:t>Gick</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Holyoak</w:t>
      </w:r>
      <w:proofErr w:type="spellEnd"/>
      <w:r w:rsidRPr="00935836">
        <w:rPr>
          <w:color w:val="E36C0A" w:themeColor="accent6" w:themeShade="BF"/>
          <w:sz w:val="20"/>
          <w:szCs w:val="20"/>
        </w:rPr>
        <w:t xml:space="preserve">, 1983; </w:t>
      </w:r>
      <w:proofErr w:type="spellStart"/>
      <w:r w:rsidRPr="00935836">
        <w:rPr>
          <w:color w:val="E36C0A" w:themeColor="accent6" w:themeShade="BF"/>
          <w:sz w:val="20"/>
          <w:szCs w:val="20"/>
        </w:rPr>
        <w:t>Markovits</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Savary</w:t>
      </w:r>
      <w:proofErr w:type="spellEnd"/>
      <w:r w:rsidRPr="00935836">
        <w:rPr>
          <w:color w:val="E36C0A" w:themeColor="accent6" w:themeShade="BF"/>
          <w:sz w:val="20"/>
          <w:szCs w:val="20"/>
        </w:rPr>
        <w:t xml:space="preserve">, 1992). </w:t>
      </w:r>
      <w:r w:rsidR="008312ED">
        <w:rPr>
          <w:color w:val="E36C0A" w:themeColor="accent6" w:themeShade="BF"/>
          <w:sz w:val="20"/>
          <w:szCs w:val="20"/>
        </w:rPr>
        <w:t>Transfer</w:t>
      </w:r>
      <w:r>
        <w:rPr>
          <w:color w:val="E36C0A" w:themeColor="accent6" w:themeShade="BF"/>
          <w:sz w:val="20"/>
          <w:szCs w:val="20"/>
        </w:rPr>
        <w:t xml:space="preserve"> has </w:t>
      </w:r>
      <w:r w:rsidR="008312ED">
        <w:rPr>
          <w:color w:val="E36C0A" w:themeColor="accent6" w:themeShade="BF"/>
          <w:sz w:val="20"/>
          <w:szCs w:val="20"/>
        </w:rPr>
        <w:t xml:space="preserve">also </w:t>
      </w:r>
      <w:r>
        <w:rPr>
          <w:color w:val="E36C0A" w:themeColor="accent6" w:themeShade="BF"/>
          <w:sz w:val="20"/>
          <w:szCs w:val="20"/>
        </w:rPr>
        <w:t>been a topic of considerable interest in</w:t>
      </w:r>
      <w:r w:rsidRPr="00935836">
        <w:rPr>
          <w:color w:val="E36C0A" w:themeColor="accent6" w:themeShade="BF"/>
          <w:sz w:val="20"/>
          <w:szCs w:val="20"/>
        </w:rPr>
        <w:t xml:space="preserve"> </w:t>
      </w:r>
      <w:r w:rsidRPr="00935836">
        <w:rPr>
          <w:color w:val="E36C0A" w:themeColor="accent6" w:themeShade="BF"/>
          <w:sz w:val="20"/>
          <w:szCs w:val="20"/>
        </w:rPr>
        <w:lastRenderedPageBreak/>
        <w:t>perceptual learnin</w:t>
      </w:r>
      <w:r w:rsidR="004A3F21">
        <w:rPr>
          <w:color w:val="E36C0A" w:themeColor="accent6" w:themeShade="BF"/>
          <w:sz w:val="20"/>
          <w:szCs w:val="20"/>
        </w:rPr>
        <w:t>g.</w:t>
      </w:r>
      <w:r>
        <w:rPr>
          <w:color w:val="E36C0A" w:themeColor="accent6" w:themeShade="BF"/>
          <w:sz w:val="20"/>
          <w:szCs w:val="20"/>
        </w:rPr>
        <w:t xml:space="preserve"> </w:t>
      </w:r>
      <w:r w:rsidR="004A3F21">
        <w:rPr>
          <w:color w:val="E36C0A" w:themeColor="accent6" w:themeShade="BF"/>
          <w:sz w:val="20"/>
          <w:szCs w:val="20"/>
        </w:rPr>
        <w:t>L</w:t>
      </w:r>
      <w:r>
        <w:rPr>
          <w:color w:val="E36C0A" w:themeColor="accent6" w:themeShade="BF"/>
          <w:sz w:val="20"/>
          <w:szCs w:val="20"/>
        </w:rPr>
        <w:t>earning</w:t>
      </w:r>
      <w:r w:rsidR="004A3F21">
        <w:rPr>
          <w:color w:val="E36C0A" w:themeColor="accent6" w:themeShade="BF"/>
          <w:sz w:val="20"/>
          <w:szCs w:val="20"/>
        </w:rPr>
        <w:t xml:space="preserve"> can be observed even </w:t>
      </w:r>
      <w:r w:rsidR="008312ED">
        <w:rPr>
          <w:color w:val="E36C0A" w:themeColor="accent6" w:themeShade="BF"/>
          <w:sz w:val="20"/>
          <w:szCs w:val="20"/>
        </w:rPr>
        <w:t>for discriminating</w:t>
      </w:r>
      <w:r w:rsidR="004A3F21">
        <w:rPr>
          <w:color w:val="E36C0A" w:themeColor="accent6" w:themeShade="BF"/>
          <w:sz w:val="20"/>
          <w:szCs w:val="20"/>
        </w:rPr>
        <w:t xml:space="preserve"> simple visual features. This learning </w:t>
      </w:r>
      <w:r w:rsidRPr="00935836">
        <w:rPr>
          <w:color w:val="E36C0A" w:themeColor="accent6" w:themeShade="BF"/>
          <w:sz w:val="20"/>
          <w:szCs w:val="20"/>
        </w:rPr>
        <w:t>resist</w:t>
      </w:r>
      <w:r w:rsidR="004A3F21">
        <w:rPr>
          <w:color w:val="E36C0A" w:themeColor="accent6" w:themeShade="BF"/>
          <w:sz w:val="20"/>
          <w:szCs w:val="20"/>
        </w:rPr>
        <w:t>s</w:t>
      </w:r>
      <w:r w:rsidRPr="00935836">
        <w:rPr>
          <w:color w:val="E36C0A" w:themeColor="accent6" w:themeShade="BF"/>
          <w:sz w:val="20"/>
          <w:szCs w:val="20"/>
        </w:rPr>
        <w:t xml:space="preserve"> transfer </w:t>
      </w:r>
      <w:r w:rsidR="004A3F21">
        <w:rPr>
          <w:color w:val="E36C0A" w:themeColor="accent6" w:themeShade="BF"/>
          <w:sz w:val="20"/>
          <w:szCs w:val="20"/>
        </w:rPr>
        <w:t>between closely-related features and</w:t>
      </w:r>
      <w:r>
        <w:rPr>
          <w:color w:val="E36C0A" w:themeColor="accent6" w:themeShade="BF"/>
          <w:sz w:val="20"/>
          <w:szCs w:val="20"/>
        </w:rPr>
        <w:t xml:space="preserve"> </w:t>
      </w:r>
      <w:r w:rsidRPr="00935836">
        <w:rPr>
          <w:color w:val="E36C0A" w:themeColor="accent6" w:themeShade="BF"/>
          <w:sz w:val="20"/>
          <w:szCs w:val="20"/>
        </w:rPr>
        <w:t xml:space="preserve">retinal </w:t>
      </w:r>
      <w:r>
        <w:rPr>
          <w:color w:val="E36C0A" w:themeColor="accent6" w:themeShade="BF"/>
          <w:sz w:val="20"/>
          <w:szCs w:val="20"/>
        </w:rPr>
        <w:t>positions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suggest</w:t>
      </w:r>
      <w:r w:rsidR="004A3F21">
        <w:rPr>
          <w:color w:val="E36C0A" w:themeColor="accent6" w:themeShade="BF"/>
          <w:sz w:val="20"/>
          <w:szCs w:val="20"/>
        </w:rPr>
        <w:t>ing</w:t>
      </w:r>
      <w:r>
        <w:rPr>
          <w:color w:val="E36C0A" w:themeColor="accent6" w:themeShade="BF"/>
          <w:sz w:val="20"/>
          <w:szCs w:val="20"/>
        </w:rPr>
        <w:t xml:space="preserve"> </w:t>
      </w:r>
      <w:r w:rsidR="004A3F21">
        <w:rPr>
          <w:color w:val="E36C0A" w:themeColor="accent6" w:themeShade="BF"/>
          <w:sz w:val="20"/>
          <w:szCs w:val="20"/>
        </w:rPr>
        <w:t>its</w:t>
      </w:r>
      <w:r>
        <w:rPr>
          <w:color w:val="E36C0A" w:themeColor="accent6" w:themeShade="BF"/>
          <w:sz w:val="20"/>
          <w:szCs w:val="20"/>
        </w:rPr>
        <w:t xml:space="preserve"> locus </w:t>
      </w:r>
      <w:r w:rsidR="004A3F21">
        <w:rPr>
          <w:color w:val="E36C0A" w:themeColor="accent6" w:themeShade="BF"/>
          <w:sz w:val="20"/>
          <w:szCs w:val="20"/>
        </w:rPr>
        <w:t>i</w:t>
      </w:r>
      <w:r>
        <w:rPr>
          <w:color w:val="E36C0A" w:themeColor="accent6" w:themeShade="BF"/>
          <w:sz w:val="20"/>
          <w:szCs w:val="20"/>
        </w:rPr>
        <w:t>s very early in the visual processing stream</w:t>
      </w:r>
      <w:r w:rsidR="004A3F21">
        <w:rPr>
          <w:color w:val="E36C0A" w:themeColor="accent6" w:themeShade="BF"/>
          <w:sz w:val="20"/>
          <w:szCs w:val="20"/>
        </w:rPr>
        <w:t>, and is highly specific</w:t>
      </w:r>
      <w:r>
        <w:rPr>
          <w:color w:val="E36C0A" w:themeColor="accent6" w:themeShade="BF"/>
          <w:sz w:val="20"/>
          <w:szCs w:val="20"/>
        </w:rPr>
        <w:t xml:space="preserve"> </w:t>
      </w:r>
      <w:r w:rsidRPr="00935836">
        <w:rPr>
          <w:color w:val="E36C0A" w:themeColor="accent6" w:themeShade="BF"/>
          <w:sz w:val="20"/>
          <w:szCs w:val="20"/>
        </w:rPr>
        <w:t>(</w:t>
      </w:r>
      <w:proofErr w:type="gramStart"/>
      <w:r>
        <w:rPr>
          <w:color w:val="E36C0A" w:themeColor="accent6" w:themeShade="BF"/>
          <w:sz w:val="20"/>
          <w:szCs w:val="20"/>
        </w:rPr>
        <w:t>e.g.</w:t>
      </w:r>
      <w:proofErr w:type="gramEnd"/>
      <w:r>
        <w:rPr>
          <w:color w:val="E36C0A" w:themeColor="accent6" w:themeShade="BF"/>
          <w:sz w:val="20"/>
          <w:szCs w:val="20"/>
        </w:rPr>
        <w:t xml:space="preserve"> Crist et al., 2001).</w:t>
      </w:r>
      <w:r w:rsidR="004A3F21">
        <w:rPr>
          <w:color w:val="E36C0A" w:themeColor="accent6" w:themeShade="BF"/>
          <w:sz w:val="20"/>
          <w:szCs w:val="20"/>
        </w:rPr>
        <w:t xml:space="preserve"> But perceptual learning</w:t>
      </w:r>
      <w:r>
        <w:rPr>
          <w:color w:val="E36C0A" w:themeColor="accent6" w:themeShade="BF"/>
          <w:sz w:val="20"/>
          <w:szCs w:val="20"/>
        </w:rPr>
        <w:t xml:space="preserve"> </w:t>
      </w:r>
      <w:r w:rsidR="004A3F21">
        <w:rPr>
          <w:color w:val="E36C0A" w:themeColor="accent6" w:themeShade="BF"/>
          <w:sz w:val="20"/>
          <w:szCs w:val="20"/>
        </w:rPr>
        <w:t xml:space="preserve">also can </w:t>
      </w:r>
      <w:r>
        <w:rPr>
          <w:color w:val="E36C0A" w:themeColor="accent6" w:themeShade="BF"/>
          <w:sz w:val="20"/>
          <w:szCs w:val="20"/>
        </w:rPr>
        <w:t xml:space="preserve">occur at </w:t>
      </w:r>
      <w:r w:rsidR="004A3F21">
        <w:rPr>
          <w:color w:val="E36C0A" w:themeColor="accent6" w:themeShade="BF"/>
          <w:sz w:val="20"/>
          <w:szCs w:val="20"/>
        </w:rPr>
        <w:t>later</w:t>
      </w:r>
      <w:r>
        <w:rPr>
          <w:color w:val="E36C0A" w:themeColor="accent6" w:themeShade="BF"/>
          <w:sz w:val="20"/>
          <w:szCs w:val="20"/>
        </w:rPr>
        <w:t xml:space="preserve"> stages</w:t>
      </w:r>
      <w:r w:rsidR="004A3F21">
        <w:rPr>
          <w:color w:val="E36C0A" w:themeColor="accent6" w:themeShade="BF"/>
          <w:sz w:val="20"/>
          <w:szCs w:val="20"/>
        </w:rPr>
        <w:t xml:space="preserve"> of visual processing,</w:t>
      </w:r>
      <w:r>
        <w:rPr>
          <w:color w:val="E36C0A" w:themeColor="accent6" w:themeShade="BF"/>
          <w:sz w:val="20"/>
          <w:szCs w:val="20"/>
        </w:rPr>
        <w:t xml:space="preserve"> and under particular conditions these</w:t>
      </w:r>
      <w:r w:rsidR="004A3F21">
        <w:rPr>
          <w:color w:val="E36C0A" w:themeColor="accent6" w:themeShade="BF"/>
          <w:sz w:val="20"/>
          <w:szCs w:val="20"/>
        </w:rPr>
        <w:t xml:space="preserve"> stages</w:t>
      </w:r>
      <w:r>
        <w:rPr>
          <w:color w:val="E36C0A" w:themeColor="accent6" w:themeShade="BF"/>
          <w:sz w:val="20"/>
          <w:szCs w:val="20"/>
        </w:rPr>
        <w:t xml:space="preserve"> can interact to promote transfer (Watanabe and Sasaki, 2015). One relevant </w:t>
      </w:r>
      <w:r w:rsidR="004A3F21">
        <w:rPr>
          <w:color w:val="E36C0A" w:themeColor="accent6" w:themeShade="BF"/>
          <w:sz w:val="20"/>
          <w:szCs w:val="20"/>
        </w:rPr>
        <w:t>example of transfer</w:t>
      </w:r>
      <w:r w:rsidR="0052679D">
        <w:rPr>
          <w:color w:val="E36C0A" w:themeColor="accent6" w:themeShade="BF"/>
          <w:sz w:val="20"/>
          <w:szCs w:val="20"/>
        </w:rPr>
        <w:t xml:space="preserve"> from this literature comes from </w:t>
      </w:r>
      <w:proofErr w:type="spellStart"/>
      <w:r w:rsidR="0052679D">
        <w:rPr>
          <w:color w:val="E36C0A" w:themeColor="accent6" w:themeShade="BF"/>
          <w:sz w:val="20"/>
          <w:szCs w:val="20"/>
        </w:rPr>
        <w:t>Ahissar</w:t>
      </w:r>
      <w:proofErr w:type="spellEnd"/>
      <w:r w:rsidR="0052679D">
        <w:rPr>
          <w:color w:val="E36C0A" w:themeColor="accent6" w:themeShade="BF"/>
          <w:sz w:val="20"/>
          <w:szCs w:val="20"/>
        </w:rPr>
        <w:t xml:space="preserve"> &amp; Hochstein (1997), who show that </w:t>
      </w:r>
      <w:r w:rsidR="004A3F21">
        <w:rPr>
          <w:color w:val="E36C0A" w:themeColor="accent6" w:themeShade="BF"/>
          <w:sz w:val="20"/>
          <w:szCs w:val="20"/>
        </w:rPr>
        <w:t xml:space="preserve">orientation </w:t>
      </w:r>
      <w:r w:rsidR="0052679D">
        <w:rPr>
          <w:color w:val="E36C0A" w:themeColor="accent6" w:themeShade="BF"/>
          <w:sz w:val="20"/>
          <w:szCs w:val="20"/>
        </w:rPr>
        <w:t>learning is more specific and narrow when tasks are difficult, and more generalizable when they are easy</w:t>
      </w:r>
      <w:r w:rsidR="004A3F21">
        <w:rPr>
          <w:color w:val="E36C0A" w:themeColor="accent6" w:themeShade="BF"/>
          <w:sz w:val="20"/>
          <w:szCs w:val="20"/>
        </w:rPr>
        <w:t xml:space="preserve">, consistent with </w:t>
      </w:r>
      <w:proofErr w:type="gramStart"/>
      <w:r w:rsidR="004A3F21">
        <w:rPr>
          <w:color w:val="E36C0A" w:themeColor="accent6" w:themeShade="BF"/>
          <w:sz w:val="20"/>
          <w:szCs w:val="20"/>
        </w:rPr>
        <w:t>a ”reverse</w:t>
      </w:r>
      <w:proofErr w:type="gramEnd"/>
      <w:r w:rsidR="004A3F21">
        <w:rPr>
          <w:color w:val="E36C0A" w:themeColor="accent6" w:themeShade="BF"/>
          <w:sz w:val="20"/>
          <w:szCs w:val="20"/>
        </w:rPr>
        <w:t>-hierarchy” model: the more finely-tuned the representation needs to be to perform the task, the more the learning is</w:t>
      </w:r>
      <w:r w:rsidR="009E773D">
        <w:rPr>
          <w:color w:val="E36C0A" w:themeColor="accent6" w:themeShade="BF"/>
          <w:sz w:val="20"/>
          <w:szCs w:val="20"/>
        </w:rPr>
        <w:t xml:space="preserve"> specific</w:t>
      </w:r>
      <w:r w:rsidR="004A3F21">
        <w:rPr>
          <w:color w:val="E36C0A" w:themeColor="accent6" w:themeShade="BF"/>
          <w:sz w:val="20"/>
          <w:szCs w:val="20"/>
        </w:rPr>
        <w:t xml:space="preserve"> to the orientations used in the training</w:t>
      </w:r>
      <w:r w:rsidR="0052679D">
        <w:rPr>
          <w:color w:val="E36C0A" w:themeColor="accent6" w:themeShade="BF"/>
          <w:sz w:val="20"/>
          <w:szCs w:val="20"/>
        </w:rPr>
        <w:t xml:space="preserve">. </w:t>
      </w:r>
      <w:r w:rsidR="004A3F21">
        <w:rPr>
          <w:color w:val="E36C0A" w:themeColor="accent6" w:themeShade="BF"/>
          <w:sz w:val="20"/>
          <w:szCs w:val="20"/>
        </w:rPr>
        <w:t>But exposing participants to an easy condition, even for a single trial, facilitate</w:t>
      </w:r>
      <w:r w:rsidR="009E773D">
        <w:rPr>
          <w:color w:val="E36C0A" w:themeColor="accent6" w:themeShade="BF"/>
          <w:sz w:val="20"/>
          <w:szCs w:val="20"/>
        </w:rPr>
        <w:t>s</w:t>
      </w:r>
      <w:r w:rsidR="004A3F21">
        <w:rPr>
          <w:color w:val="E36C0A" w:themeColor="accent6" w:themeShade="BF"/>
          <w:sz w:val="20"/>
          <w:szCs w:val="20"/>
        </w:rPr>
        <w:t xml:space="preserve"> a more generalizable form of learning in </w:t>
      </w:r>
      <w:r w:rsidR="008312ED">
        <w:rPr>
          <w:color w:val="E36C0A" w:themeColor="accent6" w:themeShade="BF"/>
          <w:sz w:val="20"/>
          <w:szCs w:val="20"/>
        </w:rPr>
        <w:t>subsequent</w:t>
      </w:r>
      <w:r w:rsidR="004A3F21">
        <w:rPr>
          <w:color w:val="E36C0A" w:themeColor="accent6" w:themeShade="BF"/>
          <w:sz w:val="20"/>
          <w:szCs w:val="20"/>
        </w:rPr>
        <w:t xml:space="preserve"> difficult conditions. </w:t>
      </w:r>
      <w:proofErr w:type="spellStart"/>
      <w:r w:rsidR="009E773D">
        <w:rPr>
          <w:color w:val="E36C0A" w:themeColor="accent6" w:themeShade="BF"/>
          <w:sz w:val="20"/>
          <w:szCs w:val="20"/>
        </w:rPr>
        <w:t>Ahissar</w:t>
      </w:r>
      <w:proofErr w:type="spellEnd"/>
      <w:r w:rsidR="009E773D">
        <w:rPr>
          <w:color w:val="E36C0A" w:themeColor="accent6" w:themeShade="BF"/>
          <w:sz w:val="20"/>
          <w:szCs w:val="20"/>
        </w:rPr>
        <w:t xml:space="preserve"> &amp; Hochstein</w:t>
      </w:r>
      <w:r w:rsidR="004A3F21">
        <w:rPr>
          <w:color w:val="E36C0A" w:themeColor="accent6" w:themeShade="BF"/>
          <w:sz w:val="20"/>
          <w:szCs w:val="20"/>
        </w:rPr>
        <w:t xml:space="preserve"> call this single easy trial a “eureka” presentation, and argue that it facilitates learning of a wider range of orientations than </w:t>
      </w:r>
      <w:r w:rsidR="009E773D">
        <w:rPr>
          <w:color w:val="E36C0A" w:themeColor="accent6" w:themeShade="BF"/>
          <w:sz w:val="20"/>
          <w:szCs w:val="20"/>
        </w:rPr>
        <w:t>those</w:t>
      </w:r>
      <w:r w:rsidR="004A3F21">
        <w:rPr>
          <w:color w:val="E36C0A" w:themeColor="accent6" w:themeShade="BF"/>
          <w:sz w:val="20"/>
          <w:szCs w:val="20"/>
        </w:rPr>
        <w:t xml:space="preserve"> included in the difficult trials that follow.</w:t>
      </w:r>
      <w:r w:rsidR="009E773D">
        <w:rPr>
          <w:color w:val="E36C0A" w:themeColor="accent6" w:themeShade="BF"/>
          <w:sz w:val="20"/>
          <w:szCs w:val="20"/>
        </w:rPr>
        <w:t xml:space="preserve"> There is</w:t>
      </w:r>
      <w:r w:rsidR="009E6BB1">
        <w:rPr>
          <w:color w:val="E36C0A" w:themeColor="accent6" w:themeShade="BF"/>
          <w:sz w:val="20"/>
          <w:szCs w:val="20"/>
        </w:rPr>
        <w:t>, of course,</w:t>
      </w:r>
      <w:r w:rsidR="009E773D">
        <w:rPr>
          <w:color w:val="E36C0A" w:themeColor="accent6" w:themeShade="BF"/>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F83934" w:rsidRDefault="00FB4B01" w:rsidP="00B92266">
      <w:pPr>
        <w:spacing w:line="360" w:lineRule="auto"/>
        <w:rPr>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 xml:space="preserve">participants were told to pick up a beanbag of </w:t>
      </w:r>
      <w:r w:rsidR="00F83934">
        <w:rPr>
          <w:color w:val="F79646" w:themeColor="accent6"/>
          <w:sz w:val="20"/>
          <w:szCs w:val="20"/>
        </w:rPr>
        <w:lastRenderedPageBreak/>
        <w:t>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0AAF41D" w:rsidR="00B54B24" w:rsidRPr="00034094" w:rsidRDefault="00FB4B01" w:rsidP="00B92266">
      <w:pPr>
        <w:spacing w:line="360" w:lineRule="auto"/>
        <w:rPr>
          <w:color w:val="F79646" w:themeColor="accent6"/>
          <w:sz w:val="20"/>
          <w:szCs w:val="20"/>
        </w:rPr>
      </w:pPr>
      <w:r w:rsidRPr="00034094">
        <w:rPr>
          <w:color w:val="F79646" w:themeColor="accent6"/>
          <w:sz w:val="20"/>
          <w:szCs w:val="20"/>
        </w:rPr>
        <w:t xml:space="preserve">In this experiment we ask whether participants who have just performed the </w:t>
      </w:r>
      <w:r w:rsidR="0057559F" w:rsidRPr="00034094">
        <w:rPr>
          <w:color w:val="F79646" w:themeColor="accent6"/>
          <w:sz w:val="20"/>
          <w:szCs w:val="20"/>
        </w:rPr>
        <w:t>reaching</w:t>
      </w:r>
      <w:r w:rsidRPr="00034094">
        <w:rPr>
          <w:color w:val="F79646" w:themeColor="accent6"/>
          <w:sz w:val="20"/>
          <w:szCs w:val="20"/>
        </w:rPr>
        <w:t xml:space="preserve"> 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034094">
        <w:rPr>
          <w:color w:val="F79646" w:themeColor="accent6"/>
          <w:sz w:val="20"/>
          <w:szCs w:val="20"/>
        </w:rPr>
        <w:t>reaching</w:t>
      </w:r>
      <w:r w:rsidRPr="00034094">
        <w:rPr>
          <w:color w:val="F79646" w:themeColor="accent6"/>
          <w:sz w:val="20"/>
          <w:szCs w:val="20"/>
        </w:rPr>
        <w:t xml:space="preserve"> version of the task. The decision </w:t>
      </w:r>
      <w:proofErr w:type="spellStart"/>
      <w:r w:rsidRPr="00034094">
        <w:rPr>
          <w:color w:val="F79646" w:themeColor="accent6"/>
          <w:sz w:val="20"/>
          <w:szCs w:val="20"/>
        </w:rPr>
        <w:t>behaviour</w:t>
      </w:r>
      <w:proofErr w:type="spellEnd"/>
      <w:r w:rsidRPr="00034094">
        <w:rPr>
          <w:color w:val="F79646" w:themeColor="accent6"/>
          <w:sz w:val="20"/>
          <w:szCs w:val="20"/>
        </w:rPr>
        <w:t xml:space="preserve"> of this primed group was compared to a control group, and the experimenter who ran the throwing part of the session was blind to the group assignment of participants.</w:t>
      </w:r>
      <w:r w:rsidR="006C3672" w:rsidRPr="00034094">
        <w:rPr>
          <w:color w:val="F79646" w:themeColor="accent6"/>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w:t>
      </w:r>
      <w:r w:rsidR="004063D4">
        <w:rPr>
          <w:color w:val="E36C0A" w:themeColor="accent6" w:themeShade="BF"/>
          <w:sz w:val="20"/>
          <w:szCs w:val="20"/>
        </w:rPr>
        <w:lastRenderedPageBreak/>
        <w:t xml:space="preserve">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6BD9C5F7"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a small white dot </w:t>
      </w:r>
      <w:r w:rsidR="00C70765">
        <w:rPr>
          <w:rFonts w:asciiTheme="majorHAnsi" w:hAnsiTheme="majorHAnsi" w:cstheme="majorHAnsi"/>
          <w:color w:val="F79646" w:themeColor="accent6"/>
          <w:sz w:val="20"/>
          <w:szCs w:val="20"/>
        </w:rPr>
        <w:t>would</w:t>
      </w:r>
      <w:r w:rsidR="006E42A6" w:rsidRPr="00C13C7A">
        <w:rPr>
          <w:rFonts w:asciiTheme="majorHAnsi" w:hAnsiTheme="majorHAnsi" w:cstheme="majorHAnsi"/>
          <w:color w:val="F79646" w:themeColor="accent6"/>
          <w:sz w:val="20"/>
          <w:szCs w:val="20"/>
        </w:rPr>
        <w:t xml:space="preserve"> appear in one of the two side boxes</w:t>
      </w:r>
      <w:r w:rsidR="00C70765">
        <w:rPr>
          <w:rFonts w:asciiTheme="majorHAnsi" w:hAnsiTheme="majorHAnsi" w:cstheme="majorHAnsi"/>
          <w:color w:val="F79646" w:themeColor="accent6"/>
          <w:sz w:val="20"/>
          <w:szCs w:val="20"/>
        </w:rPr>
        <w:t xml:space="preserve">, and participants had to indicate whether it appeared in the upper or lower half of the box.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w:t>
      </w:r>
      <w:r w:rsidR="00C70765">
        <w:rPr>
          <w:rFonts w:asciiTheme="majorHAnsi" w:hAnsiTheme="majorHAnsi" w:cstheme="majorHAnsi"/>
          <w:color w:val="F79646" w:themeColor="accent6"/>
          <w:sz w:val="20"/>
          <w:szCs w:val="20"/>
        </w:rPr>
        <w:t xml:space="preserve">side </w:t>
      </w:r>
      <w:r w:rsidR="000B2289">
        <w:rPr>
          <w:rFonts w:asciiTheme="majorHAnsi" w:hAnsiTheme="majorHAnsi" w:cstheme="majorHAnsi"/>
          <w:color w:val="F79646" w:themeColor="accent6"/>
          <w:sz w:val="20"/>
          <w:szCs w:val="20"/>
        </w:rPr>
        <w:t xml:space="preserve">is the target until </w:t>
      </w:r>
      <w:r w:rsidR="00C70765">
        <w:rPr>
          <w:rFonts w:asciiTheme="majorHAnsi" w:hAnsiTheme="majorHAnsi" w:cstheme="majorHAnsi"/>
          <w:color w:val="F79646" w:themeColor="accent6"/>
          <w:sz w:val="20"/>
          <w:szCs w:val="20"/>
        </w:rPr>
        <w:t xml:space="preserve">after </w:t>
      </w:r>
      <w:r w:rsidR="000B2289">
        <w:rPr>
          <w:rFonts w:asciiTheme="majorHAnsi" w:hAnsiTheme="majorHAnsi" w:cstheme="majorHAnsi"/>
          <w:color w:val="F79646" w:themeColor="accent6"/>
          <w:sz w:val="20"/>
          <w:szCs w:val="20"/>
        </w:rPr>
        <w:t xml:space="preserve">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w:t>
      </w:r>
      <w:proofErr w:type="gramStart"/>
      <w:r w:rsidR="000F17D4" w:rsidRPr="00C13C7A">
        <w:rPr>
          <w:rFonts w:asciiTheme="majorHAnsi" w:hAnsiTheme="majorHAnsi" w:cstheme="majorHAnsi"/>
          <w:color w:val="F79646" w:themeColor="accent6"/>
          <w:sz w:val="20"/>
          <w:szCs w:val="20"/>
        </w:rPr>
        <w:t>are</w:t>
      </w:r>
      <w:proofErr w:type="gramEnd"/>
      <w:r w:rsidR="000F17D4" w:rsidRPr="00C13C7A">
        <w:rPr>
          <w:rFonts w:asciiTheme="majorHAnsi" w:hAnsiTheme="majorHAnsi" w:cstheme="majorHAnsi"/>
          <w:color w:val="F79646" w:themeColor="accent6"/>
          <w:sz w:val="20"/>
          <w:szCs w:val="20"/>
        </w:rPr>
        <w:t xml:space="preserv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w:t>
      </w:r>
      <w:r w:rsidR="00871C42">
        <w:rPr>
          <w:rFonts w:asciiTheme="majorHAnsi" w:hAnsiTheme="majorHAnsi" w:cstheme="majorHAnsi"/>
          <w:color w:val="F79646" w:themeColor="accent6"/>
          <w:sz w:val="20"/>
          <w:szCs w:val="20"/>
        </w:rPr>
        <w:t>red</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w:t>
      </w:r>
      <w:r w:rsidR="00871C42">
        <w:rPr>
          <w:rFonts w:asciiTheme="majorHAnsi" w:hAnsiTheme="majorHAnsi" w:cstheme="majorHAnsi"/>
          <w:color w:val="F79646" w:themeColor="accent6"/>
          <w:sz w:val="20"/>
          <w:szCs w:val="20"/>
        </w:rPr>
        <w:t>blue</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proofErr w:type="gramStart"/>
      <w:r w:rsidRPr="007D3AB7">
        <w:rPr>
          <w:color w:val="F79646" w:themeColor="accent6"/>
          <w:sz w:val="20"/>
          <w:szCs w:val="20"/>
        </w:rPr>
        <w:t>vX.XX</w:t>
      </w:r>
      <w:proofErr w:type="spellEnd"/>
      <w:proofErr w:type="gram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w:t>
      </w:r>
      <w:proofErr w:type="gramStart"/>
      <w:r w:rsidR="004C6F4A">
        <w:rPr>
          <w:color w:val="F79646" w:themeColor="accent6"/>
          <w:sz w:val="20"/>
          <w:szCs w:val="20"/>
        </w:rPr>
        <w:t>N(</w:t>
      </w:r>
      <w:proofErr w:type="gramEnd"/>
      <w:r w:rsidR="004C6F4A">
        <w:rPr>
          <w:color w:val="F79646" w:themeColor="accent6"/>
          <w:sz w:val="20"/>
          <w:szCs w:val="20"/>
        </w:rPr>
        <w:t>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 xml:space="preserve">they were </w:t>
      </w:r>
      <w:proofErr w:type="gramStart"/>
      <w:r w:rsidR="001F5727" w:rsidRPr="001F5727">
        <w:rPr>
          <w:color w:val="F79646" w:themeColor="accent6"/>
          <w:sz w:val="20"/>
          <w:szCs w:val="20"/>
        </w:rPr>
        <w:t>told</w:t>
      </w:r>
      <w:proofErr w:type="gramEnd"/>
      <w:r w:rsidR="001F5727" w:rsidRPr="001F5727">
        <w:rPr>
          <w:color w:val="F79646" w:themeColor="accent6"/>
          <w:sz w:val="20"/>
          <w:szCs w:val="20"/>
        </w:rPr>
        <w:t xml:space="preserve">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(shown in blue) 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xml:space="preserve">, and because affects the y axis of the plots </w:t>
      </w:r>
      <w:r w:rsidR="00E5550E">
        <w:rPr>
          <w:color w:val="F79646" w:themeColor="accent6"/>
          <w:sz w:val="20"/>
          <w:szCs w:val="20"/>
        </w:rPr>
        <w:lastRenderedPageBreak/>
        <w:t>(which would otherwise be 0 to 1</w:t>
      </w:r>
      <w:r w:rsidR="00E5550E" w:rsidRPr="00E5550E">
        <w:rPr>
          <w:color w:val="F79646" w:themeColor="accent6"/>
          <w:sz w:val="20"/>
          <w:szCs w:val="20"/>
        </w:rPr>
        <w:t xml:space="preserve">). This pattern of sub-optimal and highly variable </w:t>
      </w:r>
      <w:proofErr w:type="gramStart"/>
      <w:r w:rsidR="00E5550E" w:rsidRPr="00E5550E">
        <w:rPr>
          <w:color w:val="F79646" w:themeColor="accent6"/>
          <w:sz w:val="20"/>
          <w:szCs w:val="20"/>
        </w:rPr>
        <w:t>choices</w:t>
      </w:r>
      <w:r w:rsidR="00E5550E">
        <w:rPr>
          <w:sz w:val="20"/>
          <w:szCs w:val="20"/>
        </w:rPr>
        <w:t xml:space="preserve"> </w:t>
      </w:r>
      <w:r w:rsidR="00D53F4D">
        <w:rPr>
          <w:sz w:val="20"/>
          <w:szCs w:val="20"/>
        </w:rPr>
        <w:t xml:space="preserve"> replicat</w:t>
      </w:r>
      <w:r w:rsidR="00E5550E">
        <w:rPr>
          <w:sz w:val="20"/>
          <w:szCs w:val="20"/>
        </w:rPr>
        <w:t>es</w:t>
      </w:r>
      <w:proofErr w:type="gramEnd"/>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7C3A41A3"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commentRangeStart w:id="6"/>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w:t>
      </w:r>
      <w:commentRangeEnd w:id="6"/>
      <w:r w:rsidR="00871C42">
        <w:rPr>
          <w:rStyle w:val="CommentReference"/>
        </w:rPr>
        <w:commentReference w:id="6"/>
      </w:r>
      <w:r w:rsidRPr="00D53F4D">
        <w:rPr>
          <w:rFonts w:ascii="Nunito" w:eastAsia="Nunito" w:hAnsi="Nunito" w:cs="Nunito"/>
          <w:i/>
          <w:iCs/>
          <w:sz w:val="20"/>
          <w:szCs w:val="20"/>
        </w:rPr>
        <w:t xml:space="preserve">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This is 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w:t>
      </w:r>
      <w:r w:rsidR="00FD3E3E">
        <w:rPr>
          <w:color w:val="E36C0A" w:themeColor="accent6" w:themeShade="BF"/>
          <w:sz w:val="20"/>
          <w:szCs w:val="20"/>
        </w:rPr>
        <w:lastRenderedPageBreak/>
        <w:t xml:space="preserve">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w:t>
      </w:r>
      <w:proofErr w:type="gramStart"/>
      <w:r w:rsidR="00B16478" w:rsidRPr="00B16478">
        <w:rPr>
          <w:color w:val="E36C0A" w:themeColor="accent6" w:themeShade="BF"/>
          <w:sz w:val="20"/>
          <w:szCs w:val="20"/>
        </w:rPr>
        <w:t>= )</w:t>
      </w:r>
      <w:proofErr w:type="gramEnd"/>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8D25BA">
        <w:rPr>
          <w:i/>
          <w:iCs/>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 xml:space="preserve">a third of the </w:t>
      </w:r>
      <w:r w:rsidR="00771A22">
        <w:rPr>
          <w:color w:val="E36C0A" w:themeColor="accent6" w:themeShade="BF"/>
          <w:sz w:val="20"/>
          <w:szCs w:val="20"/>
        </w:rPr>
        <w:lastRenderedPageBreak/>
        <w:t>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628017F" w14:textId="517DBD84" w:rsidR="008B7749" w:rsidRPr="008B7749" w:rsidRDefault="00AE5D40" w:rsidP="00AE5D40">
      <w:pPr>
        <w:pStyle w:val="Heading1"/>
        <w:rPr>
          <w:color w:val="E36C0A" w:themeColor="accent6" w:themeShade="BF"/>
          <w:sz w:val="20"/>
          <w:szCs w:val="20"/>
        </w:rPr>
      </w:pPr>
      <w:r>
        <w:rPr>
          <w:noProof/>
          <w:color w:val="E36C0A" w:themeColor="accent6" w:themeShade="BF"/>
          <w:sz w:val="20"/>
          <w:szCs w:val="20"/>
        </w:rPr>
        <w:drawing>
          <wp:inline distT="0" distB="0" distL="0" distR="0" wp14:anchorId="292991BD" wp14:editId="5FDC5714">
            <wp:extent cx="5943600" cy="1857375"/>
            <wp:effectExtent l="0" t="0" r="0" b="0"/>
            <wp:docPr id="175097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7509707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0C33C" w14:textId="733C5731" w:rsidR="00B92266" w:rsidRDefault="00D02949" w:rsidP="00B92266">
      <w:pPr>
        <w:spacing w:after="160" w:line="240" w:lineRule="auto"/>
        <w:rPr>
          <w:rFonts w:ascii="Nunito" w:eastAsia="Nunito" w:hAnsi="Nunito" w:cs="Nunito"/>
          <w:sz w:val="20"/>
          <w:szCs w:val="20"/>
        </w:rPr>
      </w:pPr>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p>
    <w:p w14:paraId="09AAFDAF" w14:textId="3256D66B"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optimal than all the other participant groups reported in this paper, or in previous versions of the throwing experiment (Hunt &amp; Clarke, 2016; </w:t>
      </w:r>
      <w:r w:rsidR="00183644">
        <w:rPr>
          <w:color w:val="E36C0A" w:themeColor="accent6" w:themeShade="BF"/>
          <w:sz w:val="20"/>
          <w:szCs w:val="20"/>
        </w:rPr>
        <w:lastRenderedPageBreak/>
        <w:t xml:space="preserve">James et al., 2017; James at al., 2023). 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w:t>
      </w:r>
      <w:r w:rsidR="00E10439">
        <w:rPr>
          <w:color w:val="E36C0A" w:themeColor="accent6" w:themeShade="BF"/>
          <w:sz w:val="20"/>
          <w:szCs w:val="20"/>
        </w:rPr>
        <w:t xml:space="preserve">psychology </w:t>
      </w:r>
      <w:r w:rsidR="00E10321">
        <w:rPr>
          <w:color w:val="E36C0A" w:themeColor="accent6" w:themeShade="BF"/>
          <w:sz w:val="20"/>
          <w:szCs w:val="20"/>
        </w:rPr>
        <w:t>experiment (computer-based tasks</w:t>
      </w:r>
      <w:r w:rsidR="00E10439">
        <w:rPr>
          <w:color w:val="E36C0A" w:themeColor="accent6" w:themeShade="BF"/>
          <w:sz w:val="20"/>
          <w:szCs w:val="20"/>
        </w:rPr>
        <w:t xml:space="preserve"> and/or</w:t>
      </w:r>
      <w:r w:rsidR="00E10321">
        <w:rPr>
          <w:color w:val="E36C0A" w:themeColor="accent6" w:themeShade="BF"/>
          <w:sz w:val="20"/>
          <w:szCs w:val="20"/>
        </w:rPr>
        <w:t xml:space="preserve">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0"/>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w:t>
      </w:r>
      <w:proofErr w:type="gramStart"/>
      <w:r w:rsidR="00322C62" w:rsidRPr="00322C62">
        <w:rPr>
          <w:color w:val="E36C0A" w:themeColor="accent6" w:themeShade="BF"/>
          <w:sz w:val="20"/>
          <w:szCs w:val="20"/>
        </w:rPr>
        <w:t>computer based</w:t>
      </w:r>
      <w:proofErr w:type="gramEnd"/>
      <w:r w:rsidR="00322C62" w:rsidRPr="00322C62">
        <w:rPr>
          <w:color w:val="E36C0A" w:themeColor="accent6" w:themeShade="BF"/>
          <w:sz w:val="20"/>
          <w:szCs w:val="20"/>
        </w:rPr>
        <w:t xml:space="preserve">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0"/>
      <w:r w:rsidR="00322C62">
        <w:rPr>
          <w:rStyle w:val="CommentReference"/>
        </w:rPr>
        <w:commentReference w:id="10"/>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w:t>
      </w:r>
      <w:r>
        <w:rPr>
          <w:sz w:val="20"/>
          <w:szCs w:val="20"/>
        </w:rPr>
        <w:lastRenderedPageBreak/>
        <w:t xml:space="preserve">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lastRenderedPageBreak/>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t>
      </w:r>
      <w:proofErr w:type="gramStart"/>
      <w:r>
        <w:rPr>
          <w:sz w:val="20"/>
          <w:szCs w:val="20"/>
        </w:rPr>
        <w:t>was</w:t>
      </w:r>
      <w:proofErr w:type="gramEnd"/>
      <w:r>
        <w:rPr>
          <w:sz w:val="20"/>
          <w:szCs w:val="20"/>
        </w:rPr>
        <w:t xml:space="preserve">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w:t>
      </w:r>
      <w:proofErr w:type="gramStart"/>
      <w:r>
        <w:rPr>
          <w:sz w:val="20"/>
          <w:szCs w:val="20"/>
        </w:rPr>
        <w:t>i.e.</w:t>
      </w:r>
      <w:proofErr w:type="gramEnd"/>
      <w:r>
        <w:rPr>
          <w:sz w:val="20"/>
          <w:szCs w:val="20"/>
        </w:rPr>
        <w:t xml:space="preserv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lastRenderedPageBreak/>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Figure </w:t>
      </w:r>
      <w:proofErr w:type="gramStart"/>
      <w:r>
        <w:rPr>
          <w:sz w:val="20"/>
          <w:szCs w:val="20"/>
        </w:rPr>
        <w:t>4  illustrates</w:t>
      </w:r>
      <w:proofErr w:type="gramEnd"/>
      <w:r>
        <w:rPr>
          <w:sz w:val="20"/>
          <w:szCs w:val="20"/>
        </w:rPr>
        <w:t xml:space="preserve">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1"/>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1"/>
      <w:r w:rsidR="00B26B3B">
        <w:rPr>
          <w:rStyle w:val="CommentReference"/>
        </w:rPr>
        <w:commentReference w:id="11"/>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w:t>
      </w:r>
      <w:r>
        <w:rPr>
          <w:sz w:val="20"/>
          <w:szCs w:val="20"/>
        </w:rPr>
        <w:lastRenderedPageBreak/>
        <w:t>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2" w:name="_Hlk140589975"/>
      <w:r>
        <w:rPr>
          <w:b/>
          <w:sz w:val="24"/>
          <w:szCs w:val="24"/>
        </w:rPr>
        <w:t>Results</w:t>
      </w:r>
    </w:p>
    <w:bookmarkEnd w:id="12"/>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w:t>
      </w:r>
      <w:proofErr w:type="gramStart"/>
      <w:r w:rsidR="0037174D" w:rsidRPr="00D86B70">
        <w:rPr>
          <w:color w:val="F79646" w:themeColor="accent6"/>
          <w:sz w:val="20"/>
          <w:szCs w:val="20"/>
        </w:rPr>
        <w:t>is</w:t>
      </w:r>
      <w:proofErr w:type="gramEnd"/>
      <w:r w:rsidR="0037174D" w:rsidRPr="00D86B70">
        <w:rPr>
          <w:color w:val="F79646" w:themeColor="accent6"/>
          <w:sz w:val="20"/>
          <w:szCs w:val="20"/>
        </w:rPr>
        <w:t xml:space="preserve">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w:t>
      </w:r>
      <w:proofErr w:type="gramStart"/>
      <w:r w:rsidR="0049683C" w:rsidRPr="00D86B70">
        <w:rPr>
          <w:color w:val="F79646" w:themeColor="accent6"/>
          <w:sz w:val="20"/>
          <w:szCs w:val="20"/>
        </w:rPr>
        <w:t>So</w:t>
      </w:r>
      <w:proofErr w:type="gramEnd"/>
      <w:r w:rsidR="0049683C" w:rsidRPr="00D86B70">
        <w:rPr>
          <w:color w:val="F79646" w:themeColor="accent6"/>
          <w:sz w:val="20"/>
          <w:szCs w:val="20"/>
        </w:rPr>
        <w:t xml:space="preserve">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w:t>
      </w:r>
      <w:proofErr w:type="gramStart"/>
      <w:r w:rsidR="0049683C" w:rsidRPr="00D86B70">
        <w:rPr>
          <w:color w:val="F79646" w:themeColor="accent6"/>
          <w:sz w:val="20"/>
          <w:szCs w:val="20"/>
        </w:rPr>
        <w:t>are</w:t>
      </w:r>
      <w:proofErr w:type="gramEnd"/>
      <w:r w:rsidR="0049683C" w:rsidRPr="00D86B70">
        <w:rPr>
          <w:color w:val="F79646" w:themeColor="accent6"/>
          <w:sz w:val="20"/>
          <w:szCs w:val="20"/>
        </w:rPr>
        <w:t xml:space="preserv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w:t>
      </w:r>
      <w:r>
        <w:rPr>
          <w:sz w:val="20"/>
          <w:szCs w:val="20"/>
        </w:rPr>
        <w:lastRenderedPageBreak/>
        <w:t>is. During the first session, participants who were guided to make optimal choices were, of course, optimal (</w:t>
      </w:r>
      <w:proofErr w:type="gramStart"/>
      <w:r>
        <w:rPr>
          <w:sz w:val="20"/>
          <w:szCs w:val="20"/>
        </w:rPr>
        <w:t>i.e.</w:t>
      </w:r>
      <w:proofErr w:type="gramEnd"/>
      <w:r>
        <w:rPr>
          <w:sz w:val="20"/>
          <w:szCs w:val="20"/>
        </w:rPr>
        <w:t xml:space="preserv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lastRenderedPageBreak/>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1992), and distraction (</w:t>
      </w:r>
      <w:proofErr w:type="gramStart"/>
      <w:r>
        <w:rPr>
          <w:sz w:val="20"/>
          <w:szCs w:val="20"/>
        </w:rPr>
        <w:t>e.g.</w:t>
      </w:r>
      <w:proofErr w:type="gramEnd"/>
      <w:r>
        <w:rPr>
          <w:sz w:val="20"/>
          <w:szCs w:val="20"/>
        </w:rPr>
        <w:t xml:space="preserve">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w:t>
      </w:r>
      <w:r>
        <w:rPr>
          <w:sz w:val="20"/>
          <w:szCs w:val="20"/>
        </w:rPr>
        <w:lastRenderedPageBreak/>
        <w:t xml:space="preserve">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w:t>
      </w:r>
      <w:proofErr w:type="gramStart"/>
      <w:r w:rsidR="00D83361">
        <w:rPr>
          <w:color w:val="E36C0A" w:themeColor="accent6" w:themeShade="BF"/>
          <w:sz w:val="20"/>
          <w:szCs w:val="20"/>
        </w:rPr>
        <w:t>e.g.</w:t>
      </w:r>
      <w:proofErr w:type="gramEnd"/>
      <w:r w:rsidR="00D83361">
        <w:rPr>
          <w:color w:val="E36C0A" w:themeColor="accent6" w:themeShade="BF"/>
          <w:sz w:val="20"/>
          <w:szCs w:val="20"/>
        </w:rPr>
        <w:t xml:space="preserve">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w:t>
      </w:r>
      <w:r>
        <w:rPr>
          <w:sz w:val="20"/>
          <w:szCs w:val="20"/>
        </w:rPr>
        <w:lastRenderedPageBreak/>
        <w:t>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w:t>
      </w:r>
      <w:proofErr w:type="gramStart"/>
      <w:r>
        <w:rPr>
          <w:sz w:val="20"/>
          <w:szCs w:val="20"/>
        </w:rPr>
        <w:t>e.g.</w:t>
      </w:r>
      <w:proofErr w:type="gramEnd"/>
      <w:r>
        <w:rPr>
          <w:sz w:val="20"/>
          <w:szCs w:val="20"/>
        </w:rPr>
        <w:t xml:space="preserve">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w:t>
      </w:r>
      <w:proofErr w:type="gramStart"/>
      <w:r>
        <w:rPr>
          <w:sz w:val="20"/>
          <w:szCs w:val="20"/>
        </w:rPr>
        <w:t>i.e.</w:t>
      </w:r>
      <w:proofErr w:type="gramEnd"/>
      <w:r>
        <w:rPr>
          <w:sz w:val="20"/>
          <w:szCs w:val="20"/>
        </w:rPr>
        <w:t xml:space="preserve"> that the sequence stays random, and the likely event continues to be more likely). In a dynamic natural environment, random sequences are rare, and patterns can emerge and change. The cost of applying a </w:t>
      </w:r>
      <w:r>
        <w:rPr>
          <w:sz w:val="20"/>
          <w:szCs w:val="20"/>
        </w:rPr>
        <w:lastRenderedPageBreak/>
        <w:t xml:space="preserve">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w:t>
      </w:r>
      <w:proofErr w:type="gramStart"/>
      <w:r>
        <w:rPr>
          <w:sz w:val="20"/>
          <w:szCs w:val="20"/>
        </w:rPr>
        <w:t>e.g.</w:t>
      </w:r>
      <w:proofErr w:type="gramEnd"/>
      <w:r>
        <w:rPr>
          <w:sz w:val="20"/>
          <w:szCs w:val="20"/>
        </w:rPr>
        <w:t xml:space="preserve">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lastRenderedPageBreak/>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w:t>
      </w:r>
      <w:proofErr w:type="gramStart"/>
      <w:r w:rsidRPr="00E74BC1">
        <w:rPr>
          <w:color w:val="222222"/>
          <w:sz w:val="20"/>
          <w:szCs w:val="20"/>
          <w:highlight w:val="white"/>
        </w:rPr>
        <w:t>J,.</w:t>
      </w:r>
      <w:proofErr w:type="gramEnd"/>
      <w:r w:rsidRPr="00E74BC1">
        <w:rPr>
          <w:color w:val="222222"/>
          <w:sz w:val="20"/>
          <w:szCs w:val="20"/>
          <w:highlight w:val="white"/>
        </w:rPr>
        <w:t xml:space="preserve">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w:t>
      </w:r>
      <w:proofErr w:type="gramStart"/>
      <w:r w:rsidRPr="00E74BC1">
        <w:rPr>
          <w:sz w:val="20"/>
          <w:szCs w:val="20"/>
        </w:rPr>
        <w:t>):e</w:t>
      </w:r>
      <w:proofErr w:type="gramEnd"/>
      <w:r w:rsidRPr="00E74BC1">
        <w:rPr>
          <w:sz w:val="20"/>
          <w:szCs w:val="20"/>
        </w:rPr>
        <w:t>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lastRenderedPageBreak/>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xml:space="preserve">. Four participants completed the throwing task. Three are authors on this paper (AH, WJ, </w:t>
      </w:r>
      <w:proofErr w:type="gramStart"/>
      <w:r>
        <w:rPr>
          <w:sz w:val="20"/>
          <w:szCs w:val="20"/>
        </w:rPr>
        <w:t>JR)  and</w:t>
      </w:r>
      <w:proofErr w:type="gramEnd"/>
      <w:r>
        <w:rPr>
          <w:sz w:val="20"/>
          <w:szCs w:val="20"/>
        </w:rPr>
        <w:t xml:space="preserve">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w:t>
      </w:r>
      <w:r>
        <w:rPr>
          <w:sz w:val="20"/>
          <w:szCs w:val="20"/>
        </w:rPr>
        <w:lastRenderedPageBreak/>
        <w:t xml:space="preserve">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w:t>
      </w:r>
      <w:proofErr w:type="gramStart"/>
      <w:r>
        <w:rPr>
          <w:sz w:val="20"/>
          <w:szCs w:val="20"/>
        </w:rPr>
        <w:t>Instead</w:t>
      </w:r>
      <w:proofErr w:type="gramEnd"/>
      <w:r>
        <w:rPr>
          <w:sz w:val="20"/>
          <w:szCs w:val="20"/>
        </w:rPr>
        <w:t xml:space="preserve">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participants were aware of the optimal </w:t>
      </w:r>
      <w:proofErr w:type="gramStart"/>
      <w:r>
        <w:rPr>
          <w:sz w:val="20"/>
          <w:szCs w:val="20"/>
        </w:rPr>
        <w:t>strategy,  had</w:t>
      </w:r>
      <w:proofErr w:type="gramEnd"/>
      <w:r>
        <w:rPr>
          <w:sz w:val="20"/>
          <w:szCs w:val="20"/>
        </w:rPr>
        <w:t xml:space="preserve">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w:t>
      </w:r>
      <w:r>
        <w:rPr>
          <w:sz w:val="20"/>
          <w:szCs w:val="20"/>
        </w:rPr>
        <w:lastRenderedPageBreak/>
        <w:t xml:space="preserve">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w:t>
      </w:r>
      <w:proofErr w:type="gramStart"/>
      <w:r>
        <w:rPr>
          <w:sz w:val="20"/>
          <w:szCs w:val="20"/>
        </w:rPr>
        <w:t>here</w:t>
      </w:r>
      <w:proofErr w:type="gramEnd"/>
      <w:r>
        <w:rPr>
          <w:sz w:val="20"/>
          <w:szCs w:val="20"/>
        </w:rPr>
        <w:t xml:space="preserv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w:t>
      </w:r>
      <w:r>
        <w:rPr>
          <w:rFonts w:ascii="Nunito" w:eastAsia="Nunito" w:hAnsi="Nunito" w:cs="Nunito"/>
          <w:sz w:val="20"/>
          <w:szCs w:val="20"/>
        </w:rPr>
        <w:lastRenderedPageBreak/>
        <w:t xml:space="preserve">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 xml:space="preserve">For each participant in each experiment, we calculated the accuracy they would have achieved under an optimal strategy (i.e., had their choices perfectly followed the blue lines in Figure A1). The size of the difference between actual proportion </w:t>
      </w:r>
      <w:proofErr w:type="gramStart"/>
      <w:r>
        <w:rPr>
          <w:sz w:val="20"/>
          <w:szCs w:val="20"/>
        </w:rPr>
        <w:t>correct</w:t>
      </w:r>
      <w:proofErr w:type="gramEnd"/>
      <w:r>
        <w:rPr>
          <w:sz w:val="20"/>
          <w:szCs w:val="20"/>
        </w:rPr>
        <w:t xml:space="preserve">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 xml:space="preserve">Figure A2. Comparison of actual proportion correct to optimal (an estimate of the proportion </w:t>
      </w:r>
      <w:proofErr w:type="gramStart"/>
      <w:r>
        <w:rPr>
          <w:rFonts w:ascii="Nunito" w:eastAsia="Nunito" w:hAnsi="Nunito" w:cs="Nunito"/>
          <w:sz w:val="20"/>
          <w:szCs w:val="20"/>
        </w:rPr>
        <w:t>correct</w:t>
      </w:r>
      <w:proofErr w:type="gramEnd"/>
      <w:r>
        <w:rPr>
          <w:rFonts w:ascii="Nunito" w:eastAsia="Nunito" w:hAnsi="Nunito" w:cs="Nunito"/>
          <w:sz w:val="20"/>
          <w:szCs w:val="20"/>
        </w:rPr>
        <w:t xml:space="preserve">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11-27T11:11:00Z" w:initials="AH">
    <w:p w14:paraId="61F4F596" w14:textId="77777777" w:rsidR="00871C42" w:rsidRDefault="00871C42" w:rsidP="0015282B">
      <w:r>
        <w:rPr>
          <w:rStyle w:val="CommentReference"/>
        </w:rPr>
        <w:annotationRef/>
      </w:r>
      <w:r>
        <w:rPr>
          <w:sz w:val="20"/>
          <w:szCs w:val="20"/>
        </w:rPr>
        <w:t>I’m not confident the color-group mapping is correct here. It was originally the other way around, but I changed it to match Figure 3. Is that correct?</w:t>
      </w:r>
    </w:p>
  </w:comment>
  <w:comment w:id="9"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1"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61F4F596" w15:done="0"/>
  <w15:commentEx w15:paraId="624875A4" w15:done="0"/>
  <w15:commentEx w15:paraId="71E5CAA4" w15:done="0"/>
  <w15:commentEx w15:paraId="415CABE8" w15:paraIdParent="71E5CAA4"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F17CEB" w16cex:dateUtc="2024-11-27T11:11:00Z"/>
  <w16cex:commentExtensible w16cex:durableId="2ACB7582" w16cex:dateUtc="2024-10-29T14:53:00Z"/>
  <w16cex:commentExtensible w16cex:durableId="28638D39" w16cex:dateUtc="2023-07-20T09:38:00Z"/>
  <w16cex:commentExtensible w16cex:durableId="2ACB759B" w16cex:dateUtc="2024-10-29T14:54: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61F4F596" w16cid:durableId="2AF17CEB"/>
  <w16cid:commentId w16cid:paraId="624875A4" w16cid:durableId="2ACB7582"/>
  <w16cid:commentId w16cid:paraId="71E5CAA4" w16cid:durableId="28638D39"/>
  <w16cid:commentId w16cid:paraId="415CABE8" w16cid:durableId="2ACB759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48296" w14:textId="77777777" w:rsidR="00DE6B68" w:rsidRDefault="00DE6B68">
      <w:pPr>
        <w:spacing w:line="240" w:lineRule="auto"/>
      </w:pPr>
      <w:r>
        <w:separator/>
      </w:r>
    </w:p>
  </w:endnote>
  <w:endnote w:type="continuationSeparator" w:id="0">
    <w:p w14:paraId="09C05BB1" w14:textId="77777777" w:rsidR="00DE6B68" w:rsidRDefault="00DE6B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91BB9" w14:textId="77777777" w:rsidR="00DE6B68" w:rsidRDefault="00DE6B68">
      <w:pPr>
        <w:spacing w:line="240" w:lineRule="auto"/>
      </w:pPr>
      <w:r>
        <w:separator/>
      </w:r>
    </w:p>
  </w:footnote>
  <w:footnote w:type="continuationSeparator" w:id="0">
    <w:p w14:paraId="25C53A1A" w14:textId="77777777" w:rsidR="00DE6B68" w:rsidRDefault="00DE6B68">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32125"/>
    <w:rsid w:val="0036640A"/>
    <w:rsid w:val="0037174D"/>
    <w:rsid w:val="00393FF7"/>
    <w:rsid w:val="003B1257"/>
    <w:rsid w:val="003B56B9"/>
    <w:rsid w:val="003C44B4"/>
    <w:rsid w:val="003F17D3"/>
    <w:rsid w:val="004063D4"/>
    <w:rsid w:val="00413B92"/>
    <w:rsid w:val="00430610"/>
    <w:rsid w:val="00440928"/>
    <w:rsid w:val="00443DB0"/>
    <w:rsid w:val="004663ED"/>
    <w:rsid w:val="0049683C"/>
    <w:rsid w:val="004A3F21"/>
    <w:rsid w:val="004B5C02"/>
    <w:rsid w:val="004C6F4A"/>
    <w:rsid w:val="004F7166"/>
    <w:rsid w:val="00524845"/>
    <w:rsid w:val="0052679D"/>
    <w:rsid w:val="00541213"/>
    <w:rsid w:val="005543CC"/>
    <w:rsid w:val="00570477"/>
    <w:rsid w:val="0057559F"/>
    <w:rsid w:val="0057798E"/>
    <w:rsid w:val="005931D0"/>
    <w:rsid w:val="005E5AF0"/>
    <w:rsid w:val="00616CF9"/>
    <w:rsid w:val="00630702"/>
    <w:rsid w:val="0066203D"/>
    <w:rsid w:val="006942E9"/>
    <w:rsid w:val="006C2DAE"/>
    <w:rsid w:val="006C3672"/>
    <w:rsid w:val="006E42A6"/>
    <w:rsid w:val="006E4D59"/>
    <w:rsid w:val="006E5887"/>
    <w:rsid w:val="007341E2"/>
    <w:rsid w:val="00747DAF"/>
    <w:rsid w:val="00771A22"/>
    <w:rsid w:val="007A3A01"/>
    <w:rsid w:val="007A586E"/>
    <w:rsid w:val="007B6804"/>
    <w:rsid w:val="007C033D"/>
    <w:rsid w:val="007D3AB7"/>
    <w:rsid w:val="008069AE"/>
    <w:rsid w:val="008312ED"/>
    <w:rsid w:val="00853738"/>
    <w:rsid w:val="00854DB5"/>
    <w:rsid w:val="00871C42"/>
    <w:rsid w:val="00885DE2"/>
    <w:rsid w:val="008B7749"/>
    <w:rsid w:val="008D1608"/>
    <w:rsid w:val="008D25BA"/>
    <w:rsid w:val="00934230"/>
    <w:rsid w:val="00935836"/>
    <w:rsid w:val="009422BB"/>
    <w:rsid w:val="00966120"/>
    <w:rsid w:val="009826D0"/>
    <w:rsid w:val="009952EF"/>
    <w:rsid w:val="009E6BB1"/>
    <w:rsid w:val="009E773D"/>
    <w:rsid w:val="00A22315"/>
    <w:rsid w:val="00A423A2"/>
    <w:rsid w:val="00A60457"/>
    <w:rsid w:val="00AC497F"/>
    <w:rsid w:val="00AE5D40"/>
    <w:rsid w:val="00AF645F"/>
    <w:rsid w:val="00B052D3"/>
    <w:rsid w:val="00B07B38"/>
    <w:rsid w:val="00B16478"/>
    <w:rsid w:val="00B26B3B"/>
    <w:rsid w:val="00B310BE"/>
    <w:rsid w:val="00B4076F"/>
    <w:rsid w:val="00B52E78"/>
    <w:rsid w:val="00B54B24"/>
    <w:rsid w:val="00B75D8F"/>
    <w:rsid w:val="00B9119B"/>
    <w:rsid w:val="00B92266"/>
    <w:rsid w:val="00BA7C86"/>
    <w:rsid w:val="00BB4C38"/>
    <w:rsid w:val="00BC3168"/>
    <w:rsid w:val="00C023DE"/>
    <w:rsid w:val="00C13C7A"/>
    <w:rsid w:val="00C448B7"/>
    <w:rsid w:val="00C47573"/>
    <w:rsid w:val="00C54659"/>
    <w:rsid w:val="00C56B28"/>
    <w:rsid w:val="00C70765"/>
    <w:rsid w:val="00C84B8F"/>
    <w:rsid w:val="00C84CC9"/>
    <w:rsid w:val="00CA364A"/>
    <w:rsid w:val="00CB5C94"/>
    <w:rsid w:val="00CE016A"/>
    <w:rsid w:val="00CF3F61"/>
    <w:rsid w:val="00D0032E"/>
    <w:rsid w:val="00D02949"/>
    <w:rsid w:val="00D11079"/>
    <w:rsid w:val="00D11D80"/>
    <w:rsid w:val="00D12A56"/>
    <w:rsid w:val="00D22AE3"/>
    <w:rsid w:val="00D53F4D"/>
    <w:rsid w:val="00D83361"/>
    <w:rsid w:val="00D86B70"/>
    <w:rsid w:val="00D97A81"/>
    <w:rsid w:val="00DA2F7A"/>
    <w:rsid w:val="00DC3C42"/>
    <w:rsid w:val="00DD0745"/>
    <w:rsid w:val="00DE6038"/>
    <w:rsid w:val="00DE6B68"/>
    <w:rsid w:val="00DF7874"/>
    <w:rsid w:val="00E10321"/>
    <w:rsid w:val="00E10439"/>
    <w:rsid w:val="00E42BB8"/>
    <w:rsid w:val="00E5550E"/>
    <w:rsid w:val="00E73922"/>
    <w:rsid w:val="00E74BC1"/>
    <w:rsid w:val="00EA1A78"/>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2943</TotalTime>
  <Pages>31</Pages>
  <Words>12895</Words>
  <Characters>73504</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Clarke, Alasdair D F</cp:lastModifiedBy>
  <cp:revision>62</cp:revision>
  <dcterms:created xsi:type="dcterms:W3CDTF">2023-02-21T15:27:00Z</dcterms:created>
  <dcterms:modified xsi:type="dcterms:W3CDTF">2025-04-23T15:20:00Z</dcterms:modified>
</cp:coreProperties>
</file>