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207A238D"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Pr>
          <w:sz w:val="20"/>
          <w:szCs w:val="20"/>
        </w:rPr>
        <w:t>wa</w:t>
      </w:r>
      <w:r w:rsidR="004063D4">
        <w:rPr>
          <w:sz w:val="20"/>
          <w:szCs w:val="20"/>
        </w:rPr>
        <w:t>s</w:t>
      </w:r>
      <w:r w:rsidR="00FB4B01">
        <w:rPr>
          <w:sz w:val="20"/>
          <w:szCs w:val="20"/>
        </w:rPr>
        <w:t xml:space="preserve"> simple to understand and implement</w:t>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 xml:space="preserve">This is important because it shows the limitation on </w:t>
      </w:r>
      <w:r w:rsidR="00F83934" w:rsidRPr="00C37F63">
        <w:rPr>
          <w:color w:val="C0504D" w:themeColor="accent2"/>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w:t>
      </w:r>
      <w:r>
        <w:rPr>
          <w:sz w:val="20"/>
          <w:szCs w:val="20"/>
        </w:rPr>
        <w:lastRenderedPageBreak/>
        <w:t xml:space="preserve">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35836" w:rsidRDefault="00935836" w:rsidP="00B92266">
      <w:pPr>
        <w:spacing w:line="360" w:lineRule="auto"/>
        <w:rPr>
          <w:color w:val="E36C0A" w:themeColor="accent6" w:themeShade="BF"/>
          <w:sz w:val="20"/>
          <w:szCs w:val="20"/>
        </w:rPr>
      </w:pPr>
      <w:r w:rsidRPr="00935836">
        <w:rPr>
          <w:color w:val="E36C0A" w:themeColor="accent6" w:themeShade="BF"/>
          <w:sz w:val="20"/>
          <w:szCs w:val="20"/>
        </w:rPr>
        <w:t xml:space="preserve">Transfer of learning across contexts in humans has been examined in a wide range of subfields. In humans </w:t>
      </w:r>
      <w:r w:rsidR="004A3F21">
        <w:rPr>
          <w:color w:val="E36C0A" w:themeColor="accent6" w:themeShade="BF"/>
          <w:sz w:val="20"/>
          <w:szCs w:val="20"/>
        </w:rPr>
        <w:t>(</w:t>
      </w:r>
      <w:r w:rsidRPr="00935836">
        <w:rPr>
          <w:color w:val="E36C0A" w:themeColor="accent6" w:themeShade="BF"/>
          <w:sz w:val="20"/>
          <w:szCs w:val="20"/>
        </w:rPr>
        <w:t>as in other species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a</w:t>
      </w:r>
      <w:r w:rsidRPr="00935836">
        <w:rPr>
          <w:color w:val="E36C0A" w:themeColor="accent6" w:themeShade="BF"/>
          <w:sz w:val="20"/>
          <w:szCs w:val="20"/>
        </w:rPr>
        <w:t xml:space="preserve"> </w:t>
      </w:r>
      <w:r w:rsidR="004A3F21">
        <w:rPr>
          <w:color w:val="E36C0A" w:themeColor="accent6" w:themeShade="BF"/>
          <w:sz w:val="20"/>
          <w:szCs w:val="20"/>
        </w:rPr>
        <w:t>common</w:t>
      </w:r>
      <w:r w:rsidRPr="00935836">
        <w:rPr>
          <w:color w:val="E36C0A" w:themeColor="accent6" w:themeShade="BF"/>
          <w:sz w:val="20"/>
          <w:szCs w:val="20"/>
        </w:rPr>
        <w:t xml:space="preserve"> </w:t>
      </w:r>
      <w:r>
        <w:rPr>
          <w:color w:val="E36C0A" w:themeColor="accent6" w:themeShade="BF"/>
          <w:sz w:val="20"/>
          <w:szCs w:val="20"/>
        </w:rPr>
        <w:t xml:space="preserve">observation </w:t>
      </w:r>
      <w:r w:rsidRPr="00935836">
        <w:rPr>
          <w:color w:val="E36C0A" w:themeColor="accent6" w:themeShade="BF"/>
          <w:sz w:val="20"/>
          <w:szCs w:val="20"/>
        </w:rPr>
        <w:t xml:space="preserve">is that improvements in performance that come with </w:t>
      </w:r>
      <w:r w:rsidR="008312ED">
        <w:rPr>
          <w:color w:val="E36C0A" w:themeColor="accent6" w:themeShade="BF"/>
          <w:sz w:val="20"/>
          <w:szCs w:val="20"/>
        </w:rPr>
        <w:t>experience</w:t>
      </w:r>
      <w:r w:rsidRPr="00935836">
        <w:rPr>
          <w:color w:val="E36C0A" w:themeColor="accent6" w:themeShade="BF"/>
          <w:sz w:val="20"/>
          <w:szCs w:val="20"/>
        </w:rPr>
        <w:t xml:space="preserve"> </w:t>
      </w:r>
      <w:r w:rsidR="008312ED">
        <w:rPr>
          <w:color w:val="E36C0A" w:themeColor="accent6" w:themeShade="BF"/>
          <w:sz w:val="20"/>
          <w:szCs w:val="20"/>
        </w:rPr>
        <w:t>in</w:t>
      </w:r>
      <w:r w:rsidRPr="00935836">
        <w:rPr>
          <w:color w:val="E36C0A" w:themeColor="accent6" w:themeShade="BF"/>
          <w:sz w:val="20"/>
          <w:szCs w:val="20"/>
        </w:rPr>
        <w:t xml:space="preserve"> </w:t>
      </w:r>
      <w:r w:rsidR="008312ED">
        <w:rPr>
          <w:color w:val="E36C0A" w:themeColor="accent6" w:themeShade="BF"/>
          <w:sz w:val="20"/>
          <w:szCs w:val="20"/>
        </w:rPr>
        <w:t xml:space="preserve">solving complex </w:t>
      </w:r>
      <w:r w:rsidRPr="00935836">
        <w:rPr>
          <w:color w:val="E36C0A" w:themeColor="accent6" w:themeShade="BF"/>
          <w:sz w:val="20"/>
          <w:szCs w:val="20"/>
        </w:rPr>
        <w:t>problem</w:t>
      </w:r>
      <w:r w:rsidR="008312ED">
        <w:rPr>
          <w:color w:val="E36C0A" w:themeColor="accent6" w:themeShade="BF"/>
          <w:sz w:val="20"/>
          <w:szCs w:val="20"/>
        </w:rPr>
        <w:t>s</w:t>
      </w:r>
      <w:r w:rsidRPr="00935836">
        <w:rPr>
          <w:color w:val="E36C0A" w:themeColor="accent6" w:themeShade="BF"/>
          <w:sz w:val="20"/>
          <w:szCs w:val="20"/>
        </w:rPr>
        <w:t xml:space="preserve"> are </w:t>
      </w:r>
      <w:r w:rsidR="004A3F21">
        <w:rPr>
          <w:color w:val="E36C0A" w:themeColor="accent6" w:themeShade="BF"/>
          <w:sz w:val="20"/>
          <w:szCs w:val="20"/>
        </w:rPr>
        <w:t xml:space="preserve">usually </w:t>
      </w:r>
      <w:r w:rsidRPr="00935836">
        <w:rPr>
          <w:color w:val="E36C0A" w:themeColor="accent6" w:themeShade="BF"/>
          <w:sz w:val="20"/>
          <w:szCs w:val="20"/>
        </w:rPr>
        <w:t xml:space="preserve">context-specific and resistant to transfer (e.g. </w:t>
      </w:r>
      <w:proofErr w:type="spellStart"/>
      <w:r w:rsidRPr="00935836">
        <w:rPr>
          <w:color w:val="E36C0A" w:themeColor="accent6" w:themeShade="BF"/>
          <w:sz w:val="20"/>
          <w:szCs w:val="20"/>
        </w:rPr>
        <w:t>Gick</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Holyoak</w:t>
      </w:r>
      <w:proofErr w:type="spellEnd"/>
      <w:r w:rsidRPr="00935836">
        <w:rPr>
          <w:color w:val="E36C0A" w:themeColor="accent6" w:themeShade="BF"/>
          <w:sz w:val="20"/>
          <w:szCs w:val="20"/>
        </w:rPr>
        <w:t xml:space="preserve">, 1983; </w:t>
      </w:r>
      <w:proofErr w:type="spellStart"/>
      <w:r w:rsidRPr="00935836">
        <w:rPr>
          <w:color w:val="E36C0A" w:themeColor="accent6" w:themeShade="BF"/>
          <w:sz w:val="20"/>
          <w:szCs w:val="20"/>
        </w:rPr>
        <w:t>Markovits</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Savary</w:t>
      </w:r>
      <w:proofErr w:type="spellEnd"/>
      <w:r w:rsidRPr="00935836">
        <w:rPr>
          <w:color w:val="E36C0A" w:themeColor="accent6" w:themeShade="BF"/>
          <w:sz w:val="20"/>
          <w:szCs w:val="20"/>
        </w:rPr>
        <w:t xml:space="preserve">, 1992). </w:t>
      </w:r>
      <w:r w:rsidR="004A3F21">
        <w:rPr>
          <w:color w:val="E36C0A" w:themeColor="accent6" w:themeShade="BF"/>
          <w:sz w:val="20"/>
          <w:szCs w:val="20"/>
        </w:rPr>
        <w:t>L</w:t>
      </w:r>
      <w:r>
        <w:rPr>
          <w:color w:val="E36C0A" w:themeColor="accent6" w:themeShade="BF"/>
          <w:sz w:val="20"/>
          <w:szCs w:val="20"/>
        </w:rPr>
        <w:t>earning</w:t>
      </w:r>
      <w:r w:rsidR="004A3F21">
        <w:rPr>
          <w:color w:val="E36C0A" w:themeColor="accent6" w:themeShade="BF"/>
          <w:sz w:val="20"/>
          <w:szCs w:val="20"/>
        </w:rPr>
        <w:t xml:space="preserve"> can be observed even </w:t>
      </w:r>
      <w:r w:rsidR="008312ED">
        <w:rPr>
          <w:color w:val="E36C0A" w:themeColor="accent6" w:themeShade="BF"/>
          <w:sz w:val="20"/>
          <w:szCs w:val="20"/>
        </w:rPr>
        <w:t xml:space="preserve">for </w:t>
      </w:r>
      <w:r w:rsidR="00715DA7">
        <w:rPr>
          <w:color w:val="E36C0A" w:themeColor="accent6" w:themeShade="BF"/>
          <w:sz w:val="20"/>
          <w:szCs w:val="20"/>
        </w:rPr>
        <w:t xml:space="preserve">simple perceptual tasks </w:t>
      </w:r>
      <w:r w:rsidR="00715DA7">
        <w:rPr>
          <w:color w:val="E36C0A" w:themeColor="accent6" w:themeShade="BF"/>
          <w:sz w:val="20"/>
          <w:szCs w:val="20"/>
        </w:rPr>
        <w:lastRenderedPageBreak/>
        <w:t xml:space="preserve">like </w:t>
      </w:r>
      <w:r w:rsidR="008312ED">
        <w:rPr>
          <w:color w:val="E36C0A" w:themeColor="accent6" w:themeShade="BF"/>
          <w:sz w:val="20"/>
          <w:szCs w:val="20"/>
        </w:rPr>
        <w:t>discriminating</w:t>
      </w:r>
      <w:r w:rsidR="004A3F21">
        <w:rPr>
          <w:color w:val="E36C0A" w:themeColor="accent6" w:themeShade="BF"/>
          <w:sz w:val="20"/>
          <w:szCs w:val="20"/>
        </w:rPr>
        <w:t xml:space="preserve"> </w:t>
      </w:r>
      <w:r w:rsidR="00715DA7">
        <w:rPr>
          <w:color w:val="E36C0A" w:themeColor="accent6" w:themeShade="BF"/>
          <w:sz w:val="20"/>
          <w:szCs w:val="20"/>
        </w:rPr>
        <w:t>basic</w:t>
      </w:r>
      <w:r w:rsidR="004A3F21">
        <w:rPr>
          <w:color w:val="E36C0A" w:themeColor="accent6" w:themeShade="BF"/>
          <w:sz w:val="20"/>
          <w:szCs w:val="20"/>
        </w:rPr>
        <w:t xml:space="preserve"> visual features</w:t>
      </w:r>
      <w:r w:rsidR="00715DA7">
        <w:rPr>
          <w:color w:val="E36C0A" w:themeColor="accent6" w:themeShade="BF"/>
          <w:sz w:val="20"/>
          <w:szCs w:val="20"/>
        </w:rPr>
        <w:t xml:space="preserve"> (e.g. Goldstone, 1998). T</w:t>
      </w:r>
      <w:r w:rsidR="004A3F21">
        <w:rPr>
          <w:color w:val="E36C0A" w:themeColor="accent6" w:themeShade="BF"/>
          <w:sz w:val="20"/>
          <w:szCs w:val="20"/>
        </w:rPr>
        <w:t>his learning</w:t>
      </w:r>
      <w:r w:rsidR="00715DA7">
        <w:rPr>
          <w:color w:val="E36C0A" w:themeColor="accent6" w:themeShade="BF"/>
          <w:sz w:val="20"/>
          <w:szCs w:val="20"/>
        </w:rPr>
        <w:t>, as with the more complex problem-solving, is also highly resistant to</w:t>
      </w:r>
      <w:r w:rsidRPr="00935836">
        <w:rPr>
          <w:color w:val="E36C0A" w:themeColor="accent6" w:themeShade="BF"/>
          <w:sz w:val="20"/>
          <w:szCs w:val="20"/>
        </w:rPr>
        <w:t xml:space="preserve"> transfer</w:t>
      </w:r>
      <w:r w:rsidR="00715DA7">
        <w:rPr>
          <w:color w:val="E36C0A" w:themeColor="accent6" w:themeShade="BF"/>
          <w:sz w:val="20"/>
          <w:szCs w:val="20"/>
        </w:rPr>
        <w:t>: Benefits of practice do not generalize even to</w:t>
      </w:r>
      <w:r w:rsidR="004A3F21">
        <w:rPr>
          <w:color w:val="E36C0A" w:themeColor="accent6" w:themeShade="BF"/>
          <w:sz w:val="20"/>
          <w:szCs w:val="20"/>
        </w:rPr>
        <w:t xml:space="preserve"> closely-related features and</w:t>
      </w:r>
      <w:r>
        <w:rPr>
          <w:color w:val="E36C0A" w:themeColor="accent6" w:themeShade="BF"/>
          <w:sz w:val="20"/>
          <w:szCs w:val="20"/>
        </w:rPr>
        <w:t xml:space="preserve"> </w:t>
      </w:r>
      <w:r w:rsidRPr="00935836">
        <w:rPr>
          <w:color w:val="E36C0A" w:themeColor="accent6" w:themeShade="BF"/>
          <w:sz w:val="20"/>
          <w:szCs w:val="20"/>
        </w:rPr>
        <w:t xml:space="preserve">retinal </w:t>
      </w:r>
      <w:r>
        <w:rPr>
          <w:color w:val="E36C0A" w:themeColor="accent6" w:themeShade="BF"/>
          <w:sz w:val="20"/>
          <w:szCs w:val="20"/>
        </w:rPr>
        <w:t>positions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suggest</w:t>
      </w:r>
      <w:r w:rsidR="004A3F21">
        <w:rPr>
          <w:color w:val="E36C0A" w:themeColor="accent6" w:themeShade="BF"/>
          <w:sz w:val="20"/>
          <w:szCs w:val="20"/>
        </w:rPr>
        <w:t>ing</w:t>
      </w:r>
      <w:r>
        <w:rPr>
          <w:color w:val="E36C0A" w:themeColor="accent6" w:themeShade="BF"/>
          <w:sz w:val="20"/>
          <w:szCs w:val="20"/>
        </w:rPr>
        <w:t xml:space="preserve"> </w:t>
      </w:r>
      <w:r w:rsidR="00715DA7">
        <w:rPr>
          <w:color w:val="E36C0A" w:themeColor="accent6" w:themeShade="BF"/>
          <w:sz w:val="20"/>
          <w:szCs w:val="20"/>
        </w:rPr>
        <w:t>the</w:t>
      </w:r>
      <w:r>
        <w:rPr>
          <w:color w:val="E36C0A" w:themeColor="accent6" w:themeShade="BF"/>
          <w:sz w:val="20"/>
          <w:szCs w:val="20"/>
        </w:rPr>
        <w:t xml:space="preserve"> locus </w:t>
      </w:r>
      <w:r w:rsidR="00715DA7">
        <w:rPr>
          <w:color w:val="E36C0A" w:themeColor="accent6" w:themeShade="BF"/>
          <w:sz w:val="20"/>
          <w:szCs w:val="20"/>
        </w:rPr>
        <w:t xml:space="preserve">of the changes due to learning </w:t>
      </w:r>
      <w:r w:rsidR="004A3F21">
        <w:rPr>
          <w:color w:val="E36C0A" w:themeColor="accent6" w:themeShade="BF"/>
          <w:sz w:val="20"/>
          <w:szCs w:val="20"/>
        </w:rPr>
        <w:t>i</w:t>
      </w:r>
      <w:r>
        <w:rPr>
          <w:color w:val="E36C0A" w:themeColor="accent6" w:themeShade="BF"/>
          <w:sz w:val="20"/>
          <w:szCs w:val="20"/>
        </w:rPr>
        <w:t>s very early in the visual processing stream</w:t>
      </w:r>
      <w:r w:rsidR="004A3F21">
        <w:rPr>
          <w:color w:val="E36C0A" w:themeColor="accent6" w:themeShade="BF"/>
          <w:sz w:val="20"/>
          <w:szCs w:val="20"/>
        </w:rPr>
        <w:t>, and is highly specific</w:t>
      </w:r>
      <w:r>
        <w:rPr>
          <w:color w:val="E36C0A" w:themeColor="accent6" w:themeShade="BF"/>
          <w:sz w:val="20"/>
          <w:szCs w:val="20"/>
        </w:rPr>
        <w:t xml:space="preserve"> </w:t>
      </w:r>
      <w:r w:rsidRPr="00935836">
        <w:rPr>
          <w:color w:val="E36C0A" w:themeColor="accent6" w:themeShade="BF"/>
          <w:sz w:val="20"/>
          <w:szCs w:val="20"/>
        </w:rPr>
        <w:t>(</w:t>
      </w:r>
      <w:r>
        <w:rPr>
          <w:color w:val="E36C0A" w:themeColor="accent6" w:themeShade="BF"/>
          <w:sz w:val="20"/>
          <w:szCs w:val="20"/>
        </w:rPr>
        <w:t>e.g. Crist et al., 2001).</w:t>
      </w:r>
      <w:r w:rsidR="004A3F21">
        <w:rPr>
          <w:color w:val="E36C0A" w:themeColor="accent6" w:themeShade="BF"/>
          <w:sz w:val="20"/>
          <w:szCs w:val="20"/>
        </w:rPr>
        <w:t xml:space="preserve"> But perceptual learning</w:t>
      </w:r>
      <w:r>
        <w:rPr>
          <w:color w:val="E36C0A" w:themeColor="accent6" w:themeShade="BF"/>
          <w:sz w:val="20"/>
          <w:szCs w:val="20"/>
        </w:rPr>
        <w:t xml:space="preserve"> </w:t>
      </w:r>
      <w:r w:rsidR="004A3F21">
        <w:rPr>
          <w:color w:val="E36C0A" w:themeColor="accent6" w:themeShade="BF"/>
          <w:sz w:val="20"/>
          <w:szCs w:val="20"/>
        </w:rPr>
        <w:t xml:space="preserve">also can </w:t>
      </w:r>
      <w:r>
        <w:rPr>
          <w:color w:val="E36C0A" w:themeColor="accent6" w:themeShade="BF"/>
          <w:sz w:val="20"/>
          <w:szCs w:val="20"/>
        </w:rPr>
        <w:t xml:space="preserve">occur at </w:t>
      </w:r>
      <w:r w:rsidR="004A3F21">
        <w:rPr>
          <w:color w:val="E36C0A" w:themeColor="accent6" w:themeShade="BF"/>
          <w:sz w:val="20"/>
          <w:szCs w:val="20"/>
        </w:rPr>
        <w:t>later</w:t>
      </w:r>
      <w:r>
        <w:rPr>
          <w:color w:val="E36C0A" w:themeColor="accent6" w:themeShade="BF"/>
          <w:sz w:val="20"/>
          <w:szCs w:val="20"/>
        </w:rPr>
        <w:t xml:space="preserve"> stages</w:t>
      </w:r>
      <w:r w:rsidR="004A3F21">
        <w:rPr>
          <w:color w:val="E36C0A" w:themeColor="accent6" w:themeShade="BF"/>
          <w:sz w:val="20"/>
          <w:szCs w:val="20"/>
        </w:rPr>
        <w:t xml:space="preserve"> of visual processing,</w:t>
      </w:r>
      <w:r>
        <w:rPr>
          <w:color w:val="E36C0A" w:themeColor="accent6" w:themeShade="BF"/>
          <w:sz w:val="20"/>
          <w:szCs w:val="20"/>
        </w:rPr>
        <w:t xml:space="preserve"> and under particular conditions these</w:t>
      </w:r>
      <w:r w:rsidR="004A3F21">
        <w:rPr>
          <w:color w:val="E36C0A" w:themeColor="accent6" w:themeShade="BF"/>
          <w:sz w:val="20"/>
          <w:szCs w:val="20"/>
        </w:rPr>
        <w:t xml:space="preserve"> stages</w:t>
      </w:r>
      <w:r>
        <w:rPr>
          <w:color w:val="E36C0A" w:themeColor="accent6" w:themeShade="BF"/>
          <w:sz w:val="20"/>
          <w:szCs w:val="20"/>
        </w:rPr>
        <w:t xml:space="preserve"> can interact to promote transfer (Watanabe and Sasaki, 2015). One relevant </w:t>
      </w:r>
      <w:r w:rsidR="004A3F21">
        <w:rPr>
          <w:color w:val="E36C0A" w:themeColor="accent6" w:themeShade="BF"/>
          <w:sz w:val="20"/>
          <w:szCs w:val="20"/>
        </w:rPr>
        <w:t>example of transfer</w:t>
      </w:r>
      <w:r w:rsidR="0052679D">
        <w:rPr>
          <w:color w:val="E36C0A" w:themeColor="accent6" w:themeShade="BF"/>
          <w:sz w:val="20"/>
          <w:szCs w:val="20"/>
        </w:rPr>
        <w:t xml:space="preserve"> from this literature comes from </w:t>
      </w:r>
      <w:proofErr w:type="spellStart"/>
      <w:r w:rsidR="0052679D">
        <w:rPr>
          <w:color w:val="E36C0A" w:themeColor="accent6" w:themeShade="BF"/>
          <w:sz w:val="20"/>
          <w:szCs w:val="20"/>
        </w:rPr>
        <w:t>Ahissar</w:t>
      </w:r>
      <w:proofErr w:type="spellEnd"/>
      <w:r w:rsidR="0052679D">
        <w:rPr>
          <w:color w:val="E36C0A" w:themeColor="accent6" w:themeShade="BF"/>
          <w:sz w:val="20"/>
          <w:szCs w:val="20"/>
        </w:rPr>
        <w:t xml:space="preserve"> &amp; Hochstein (1997), who show that </w:t>
      </w:r>
      <w:r w:rsidR="004A3F21">
        <w:rPr>
          <w:color w:val="E36C0A" w:themeColor="accent6" w:themeShade="BF"/>
          <w:sz w:val="20"/>
          <w:szCs w:val="20"/>
        </w:rPr>
        <w:t xml:space="preserve">orientation </w:t>
      </w:r>
      <w:r w:rsidR="0052679D">
        <w:rPr>
          <w:color w:val="E36C0A" w:themeColor="accent6" w:themeShade="BF"/>
          <w:sz w:val="20"/>
          <w:szCs w:val="20"/>
        </w:rPr>
        <w:t>learning is more specific and narrow when tasks are difficult, and more generalizable when they are easy</w:t>
      </w:r>
      <w:r w:rsidR="004A3F21">
        <w:rPr>
          <w:color w:val="E36C0A" w:themeColor="accent6" w:themeShade="BF"/>
          <w:sz w:val="20"/>
          <w:szCs w:val="20"/>
        </w:rPr>
        <w:t>, consistent with a ”reverse-hierarchy” model: the more finely-tuned the representation needs to be to perform the task, the more the learning is</w:t>
      </w:r>
      <w:r w:rsidR="009E773D">
        <w:rPr>
          <w:color w:val="E36C0A" w:themeColor="accent6" w:themeShade="BF"/>
          <w:sz w:val="20"/>
          <w:szCs w:val="20"/>
        </w:rPr>
        <w:t xml:space="preserve"> specific</w:t>
      </w:r>
      <w:r w:rsidR="004A3F21">
        <w:rPr>
          <w:color w:val="E36C0A" w:themeColor="accent6" w:themeShade="BF"/>
          <w:sz w:val="20"/>
          <w:szCs w:val="20"/>
        </w:rPr>
        <w:t xml:space="preserve"> to the orientations used in the training</w:t>
      </w:r>
      <w:r w:rsidR="0052679D">
        <w:rPr>
          <w:color w:val="E36C0A" w:themeColor="accent6" w:themeShade="BF"/>
          <w:sz w:val="20"/>
          <w:szCs w:val="20"/>
        </w:rPr>
        <w:t xml:space="preserve">. </w:t>
      </w:r>
      <w:r w:rsidR="004A3F21">
        <w:rPr>
          <w:color w:val="E36C0A" w:themeColor="accent6" w:themeShade="BF"/>
          <w:sz w:val="20"/>
          <w:szCs w:val="20"/>
        </w:rPr>
        <w:t>But exposing participants to an easy condition, even for a single trial, facilitate</w:t>
      </w:r>
      <w:r w:rsidR="009E773D">
        <w:rPr>
          <w:color w:val="E36C0A" w:themeColor="accent6" w:themeShade="BF"/>
          <w:sz w:val="20"/>
          <w:szCs w:val="20"/>
        </w:rPr>
        <w:t>s</w:t>
      </w:r>
      <w:r w:rsidR="004A3F21">
        <w:rPr>
          <w:color w:val="E36C0A" w:themeColor="accent6" w:themeShade="BF"/>
          <w:sz w:val="20"/>
          <w:szCs w:val="20"/>
        </w:rPr>
        <w:t xml:space="preserve"> a more generalizable form of learning in </w:t>
      </w:r>
      <w:r w:rsidR="008312ED">
        <w:rPr>
          <w:color w:val="E36C0A" w:themeColor="accent6" w:themeShade="BF"/>
          <w:sz w:val="20"/>
          <w:szCs w:val="20"/>
        </w:rPr>
        <w:t>subsequent</w:t>
      </w:r>
      <w:r w:rsidR="004A3F21">
        <w:rPr>
          <w:color w:val="E36C0A" w:themeColor="accent6" w:themeShade="BF"/>
          <w:sz w:val="20"/>
          <w:szCs w:val="20"/>
        </w:rPr>
        <w:t xml:space="preserve"> difficult conditions. </w:t>
      </w:r>
      <w:proofErr w:type="spellStart"/>
      <w:r w:rsidR="009E773D">
        <w:rPr>
          <w:color w:val="E36C0A" w:themeColor="accent6" w:themeShade="BF"/>
          <w:sz w:val="20"/>
          <w:szCs w:val="20"/>
        </w:rPr>
        <w:t>Ahissar</w:t>
      </w:r>
      <w:proofErr w:type="spellEnd"/>
      <w:r w:rsidR="009E773D">
        <w:rPr>
          <w:color w:val="E36C0A" w:themeColor="accent6" w:themeShade="BF"/>
          <w:sz w:val="20"/>
          <w:szCs w:val="20"/>
        </w:rPr>
        <w:t xml:space="preserve"> &amp; Hochstein</w:t>
      </w:r>
      <w:r w:rsidR="004A3F21">
        <w:rPr>
          <w:color w:val="E36C0A" w:themeColor="accent6" w:themeShade="BF"/>
          <w:sz w:val="20"/>
          <w:szCs w:val="20"/>
        </w:rPr>
        <w:t xml:space="preserve"> call this single easy trial a “eureka” presentation, and argue that it facilitates learning of a wider range of orientations than </w:t>
      </w:r>
      <w:r w:rsidR="009E773D">
        <w:rPr>
          <w:color w:val="E36C0A" w:themeColor="accent6" w:themeShade="BF"/>
          <w:sz w:val="20"/>
          <w:szCs w:val="20"/>
        </w:rPr>
        <w:t>those</w:t>
      </w:r>
      <w:r w:rsidR="004A3F21">
        <w:rPr>
          <w:color w:val="E36C0A" w:themeColor="accent6" w:themeShade="BF"/>
          <w:sz w:val="20"/>
          <w:szCs w:val="20"/>
        </w:rPr>
        <w:t xml:space="preserve"> included in the difficult trials that follow.</w:t>
      </w:r>
      <w:r w:rsidR="009E773D">
        <w:rPr>
          <w:color w:val="E36C0A" w:themeColor="accent6" w:themeShade="BF"/>
          <w:sz w:val="20"/>
          <w:szCs w:val="20"/>
        </w:rPr>
        <w:t xml:space="preserve"> There is</w:t>
      </w:r>
      <w:r w:rsidR="009E6BB1">
        <w:rPr>
          <w:color w:val="E36C0A" w:themeColor="accent6" w:themeShade="BF"/>
          <w:sz w:val="20"/>
          <w:szCs w:val="20"/>
        </w:rPr>
        <w:t>, of course,</w:t>
      </w:r>
      <w:r w:rsidR="009E773D">
        <w:rPr>
          <w:color w:val="E36C0A" w:themeColor="accent6" w:themeShade="BF"/>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F83934" w:rsidRDefault="00FB4B01" w:rsidP="00B92266">
      <w:pPr>
        <w:spacing w:line="360" w:lineRule="auto"/>
        <w:rPr>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B52E78">
        <w:rPr>
          <w:color w:val="F79646" w:themeColor="accent6"/>
          <w:sz w:val="20"/>
          <w:szCs w:val="20"/>
        </w:rPr>
        <w:lastRenderedPageBreak/>
        <w:t>(</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w:t>
      </w:r>
      <w:r w:rsidR="004063D4">
        <w:rPr>
          <w:color w:val="E36C0A" w:themeColor="accent6" w:themeShade="BF"/>
          <w:sz w:val="20"/>
          <w:szCs w:val="20"/>
        </w:rPr>
        <w:lastRenderedPageBreak/>
        <w:t xml:space="preserve">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628017F" w14:textId="517DBD84" w:rsidR="008B7749" w:rsidRPr="008B7749" w:rsidRDefault="00AE5D40" w:rsidP="00AE5D40">
      <w:pPr>
        <w:pStyle w:val="Heading1"/>
        <w:rPr>
          <w:color w:val="E36C0A" w:themeColor="accent6" w:themeShade="BF"/>
          <w:sz w:val="20"/>
          <w:szCs w:val="20"/>
        </w:rPr>
      </w:pPr>
      <w:r>
        <w:rPr>
          <w:noProof/>
          <w:color w:val="E36C0A" w:themeColor="accent6" w:themeShade="BF"/>
          <w:sz w:val="20"/>
          <w:szCs w:val="20"/>
        </w:rPr>
        <w:drawing>
          <wp:inline distT="0" distB="0" distL="0" distR="0" wp14:anchorId="292991BD" wp14:editId="5FDC5714">
            <wp:extent cx="5943600" cy="1857375"/>
            <wp:effectExtent l="0" t="0" r="0" b="0"/>
            <wp:docPr id="17509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750970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0C33C" w14:textId="733C5731" w:rsidR="00B92266" w:rsidRDefault="00D02949" w:rsidP="00B92266">
      <w:pPr>
        <w:spacing w:after="160" w:line="240" w:lineRule="auto"/>
        <w:rPr>
          <w:rFonts w:ascii="Nunito" w:eastAsia="Nunito" w:hAnsi="Nunito" w:cs="Nunito"/>
          <w:sz w:val="20"/>
          <w:szCs w:val="20"/>
        </w:rPr>
      </w:pPr>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groups reported in this paper, or in previous versions of the throwing experiment (Hunt &amp; Clarke, 2016; </w:t>
      </w:r>
      <w:r w:rsidR="00183644">
        <w:rPr>
          <w:color w:val="E36C0A" w:themeColor="accent6" w:themeShade="BF"/>
          <w:sz w:val="20"/>
          <w:szCs w:val="20"/>
        </w:rPr>
        <w:lastRenderedPageBreak/>
        <w:t xml:space="preserve">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0"/>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0"/>
      <w:r w:rsidR="00322C62">
        <w:rPr>
          <w:rStyle w:val="CommentReference"/>
        </w:rPr>
        <w:commentReference w:id="10"/>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w:t>
      </w:r>
      <w:r>
        <w:rPr>
          <w:sz w:val="20"/>
          <w:szCs w:val="20"/>
        </w:rPr>
        <w:lastRenderedPageBreak/>
        <w:t xml:space="preserve">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1"/>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1"/>
      <w:r w:rsidR="00B26B3B">
        <w:rPr>
          <w:rStyle w:val="CommentReference"/>
        </w:rPr>
        <w:commentReference w:id="11"/>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2" w:name="_Hlk140589975"/>
      <w:r>
        <w:rPr>
          <w:b/>
          <w:sz w:val="24"/>
          <w:szCs w:val="24"/>
        </w:rPr>
        <w:t>Results</w:t>
      </w:r>
    </w:p>
    <w:bookmarkEnd w:id="12"/>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w:t>
      </w:r>
      <w:r>
        <w:rPr>
          <w:sz w:val="20"/>
          <w:szCs w:val="20"/>
        </w:rPr>
        <w:lastRenderedPageBreak/>
        <w:t xml:space="preserve">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w:t>
      </w:r>
      <w:r>
        <w:rPr>
          <w:sz w:val="20"/>
          <w:szCs w:val="20"/>
        </w:rPr>
        <w:lastRenderedPageBreak/>
        <w:t>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w:t>
      </w:r>
      <w:r>
        <w:rPr>
          <w:sz w:val="20"/>
          <w:szCs w:val="20"/>
        </w:rPr>
        <w:lastRenderedPageBreak/>
        <w:t xml:space="preserve">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their resources between competing goals</w:t>
      </w:r>
      <w:r>
        <w:rPr>
          <w:color w:val="F79646" w:themeColor="accent6"/>
          <w:sz w:val="20"/>
          <w:szCs w:val="20"/>
        </w:rPr>
        <w:t xml:space="preserve">.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w:t>
      </w:r>
      <w:r>
        <w:rPr>
          <w:color w:val="F79646" w:themeColor="accent6"/>
          <w:sz w:val="20"/>
          <w:szCs w:val="20"/>
        </w:rPr>
        <w:t xml:space="preserve"> matched in their difficulty or other features</w:t>
      </w:r>
      <w:r>
        <w:rPr>
          <w:color w:val="F79646" w:themeColor="accent6"/>
          <w:sz w:val="20"/>
          <w:szCs w:val="20"/>
        </w:rPr>
        <w:t xml:space="preserve">,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 xml:space="preserve">That is, it could be that simplifying the focus-divide dilemma has removed </w:t>
      </w:r>
      <w:r w:rsidR="00D06773">
        <w:rPr>
          <w:color w:val="F79646" w:themeColor="accent6"/>
          <w:sz w:val="20"/>
          <w:szCs w:val="20"/>
        </w:rPr>
        <w:lastRenderedPageBreak/>
        <w:t>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lastRenderedPageBreak/>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lastRenderedPageBreak/>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w:t>
      </w:r>
      <w:r>
        <w:rPr>
          <w:sz w:val="20"/>
          <w:szCs w:val="20"/>
        </w:rPr>
        <w:lastRenderedPageBreak/>
        <w:t>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1"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B8FA5" w14:textId="77777777" w:rsidR="00E75BDF" w:rsidRDefault="00E75BDF">
      <w:pPr>
        <w:spacing w:line="240" w:lineRule="auto"/>
      </w:pPr>
      <w:r>
        <w:separator/>
      </w:r>
    </w:p>
  </w:endnote>
  <w:endnote w:type="continuationSeparator" w:id="0">
    <w:p w14:paraId="09FE392A" w14:textId="77777777" w:rsidR="00E75BDF" w:rsidRDefault="00E75B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DC2E0" w14:textId="77777777" w:rsidR="00E75BDF" w:rsidRDefault="00E75BDF">
      <w:pPr>
        <w:spacing w:line="240" w:lineRule="auto"/>
      </w:pPr>
      <w:r>
        <w:separator/>
      </w:r>
    </w:p>
  </w:footnote>
  <w:footnote w:type="continuationSeparator" w:id="0">
    <w:p w14:paraId="388EBE03" w14:textId="77777777" w:rsidR="00E75BDF" w:rsidRDefault="00E75BDF">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56FD5"/>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27375"/>
    <w:rsid w:val="00332125"/>
    <w:rsid w:val="0036640A"/>
    <w:rsid w:val="0037174D"/>
    <w:rsid w:val="003925F2"/>
    <w:rsid w:val="00393FF7"/>
    <w:rsid w:val="003B1257"/>
    <w:rsid w:val="003B56B9"/>
    <w:rsid w:val="003C44B4"/>
    <w:rsid w:val="003F17D3"/>
    <w:rsid w:val="004063D4"/>
    <w:rsid w:val="00413B92"/>
    <w:rsid w:val="00430610"/>
    <w:rsid w:val="00440928"/>
    <w:rsid w:val="00443DB0"/>
    <w:rsid w:val="004663ED"/>
    <w:rsid w:val="00486EE1"/>
    <w:rsid w:val="0049683C"/>
    <w:rsid w:val="004A3F21"/>
    <w:rsid w:val="004B5C02"/>
    <w:rsid w:val="004C6F4A"/>
    <w:rsid w:val="004F7166"/>
    <w:rsid w:val="00524845"/>
    <w:rsid w:val="0052679D"/>
    <w:rsid w:val="00541213"/>
    <w:rsid w:val="005543CC"/>
    <w:rsid w:val="00570477"/>
    <w:rsid w:val="0057559F"/>
    <w:rsid w:val="0057798E"/>
    <w:rsid w:val="005931D0"/>
    <w:rsid w:val="005E5AF0"/>
    <w:rsid w:val="00600DBC"/>
    <w:rsid w:val="00616CF9"/>
    <w:rsid w:val="00630702"/>
    <w:rsid w:val="0066203D"/>
    <w:rsid w:val="006942E9"/>
    <w:rsid w:val="006C2DAE"/>
    <w:rsid w:val="006C3672"/>
    <w:rsid w:val="006E42A6"/>
    <w:rsid w:val="006E4D59"/>
    <w:rsid w:val="006E5887"/>
    <w:rsid w:val="00715DA7"/>
    <w:rsid w:val="007341E2"/>
    <w:rsid w:val="00747DAF"/>
    <w:rsid w:val="00771A22"/>
    <w:rsid w:val="007A3A01"/>
    <w:rsid w:val="007A586E"/>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26D0"/>
    <w:rsid w:val="009952EF"/>
    <w:rsid w:val="009E6BB1"/>
    <w:rsid w:val="009E773D"/>
    <w:rsid w:val="00A22315"/>
    <w:rsid w:val="00A360A7"/>
    <w:rsid w:val="00A423A2"/>
    <w:rsid w:val="00A60457"/>
    <w:rsid w:val="00AC497F"/>
    <w:rsid w:val="00AE5D40"/>
    <w:rsid w:val="00AF645F"/>
    <w:rsid w:val="00B052D3"/>
    <w:rsid w:val="00B07B38"/>
    <w:rsid w:val="00B16478"/>
    <w:rsid w:val="00B26B3B"/>
    <w:rsid w:val="00B310BE"/>
    <w:rsid w:val="00B4076F"/>
    <w:rsid w:val="00B52E78"/>
    <w:rsid w:val="00B54B24"/>
    <w:rsid w:val="00B75D8F"/>
    <w:rsid w:val="00B9119B"/>
    <w:rsid w:val="00B92266"/>
    <w:rsid w:val="00B96F80"/>
    <w:rsid w:val="00BA7C86"/>
    <w:rsid w:val="00BB4C38"/>
    <w:rsid w:val="00BC3168"/>
    <w:rsid w:val="00C023DE"/>
    <w:rsid w:val="00C13C7A"/>
    <w:rsid w:val="00C37F63"/>
    <w:rsid w:val="00C448B7"/>
    <w:rsid w:val="00C47573"/>
    <w:rsid w:val="00C54659"/>
    <w:rsid w:val="00C56B28"/>
    <w:rsid w:val="00C70765"/>
    <w:rsid w:val="00C84B8F"/>
    <w:rsid w:val="00C84CC9"/>
    <w:rsid w:val="00CA364A"/>
    <w:rsid w:val="00CB5C94"/>
    <w:rsid w:val="00CE016A"/>
    <w:rsid w:val="00CF3F61"/>
    <w:rsid w:val="00D0032E"/>
    <w:rsid w:val="00D02949"/>
    <w:rsid w:val="00D06773"/>
    <w:rsid w:val="00D06CB8"/>
    <w:rsid w:val="00D11079"/>
    <w:rsid w:val="00D11D80"/>
    <w:rsid w:val="00D12A56"/>
    <w:rsid w:val="00D22AE3"/>
    <w:rsid w:val="00D53F4D"/>
    <w:rsid w:val="00D83361"/>
    <w:rsid w:val="00D86B70"/>
    <w:rsid w:val="00D97A81"/>
    <w:rsid w:val="00DA2F7A"/>
    <w:rsid w:val="00DC3C42"/>
    <w:rsid w:val="00DD0745"/>
    <w:rsid w:val="00DE6038"/>
    <w:rsid w:val="00DE6B68"/>
    <w:rsid w:val="00DF7874"/>
    <w:rsid w:val="00E10321"/>
    <w:rsid w:val="00E10439"/>
    <w:rsid w:val="00E42BB8"/>
    <w:rsid w:val="00E5550E"/>
    <w:rsid w:val="00E73922"/>
    <w:rsid w:val="00E74BC1"/>
    <w:rsid w:val="00E75BDF"/>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3063</TotalTime>
  <Pages>32</Pages>
  <Words>13127</Words>
  <Characters>74828</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65</cp:revision>
  <dcterms:created xsi:type="dcterms:W3CDTF">2023-02-21T15:27:00Z</dcterms:created>
  <dcterms:modified xsi:type="dcterms:W3CDTF">2025-04-24T13:06:00Z</dcterms:modified>
</cp:coreProperties>
</file>