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w:t>
      </w:r>
      <w:proofErr w:type="gramStart"/>
      <w:r w:rsidRPr="00E42BB8">
        <w:rPr>
          <w:color w:val="000000"/>
          <w:sz w:val="20"/>
          <w:szCs w:val="20"/>
        </w:rPr>
        <w:t>both of these</w:t>
      </w:r>
      <w:proofErr w:type="gramEnd"/>
      <w:r w:rsidRPr="00E42BB8">
        <w:rPr>
          <w:color w:val="000000"/>
          <w:sz w:val="20"/>
          <w:szCs w:val="20"/>
        </w:rPr>
        <w:t xml:space="preserv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5D7280AB"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w:t>
      </w:r>
      <w:r w:rsidR="007A0FDA">
        <w:rPr>
          <w:color w:val="C0504D" w:themeColor="accent2"/>
          <w:sz w:val="20"/>
          <w:szCs w:val="20"/>
        </w:rPr>
        <w:t xml:space="preserve">to </w:t>
      </w:r>
      <w:r w:rsidRPr="00C37F63">
        <w:rPr>
          <w:color w:val="C0504D" w:themeColor="accent2"/>
          <w:sz w:val="20"/>
          <w:szCs w:val="20"/>
        </w:rPr>
        <w:t xml:space="preserve">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 xml:space="preserve">This is important because it shows the limitation on performance in this task cannot be easily described or explained as one </w:t>
      </w:r>
      <w:proofErr w:type="gramStart"/>
      <w:r w:rsidR="00F83934" w:rsidRPr="00C37F63">
        <w:rPr>
          <w:color w:val="C0504D" w:themeColor="accent2"/>
          <w:sz w:val="20"/>
          <w:szCs w:val="20"/>
        </w:rPr>
        <w:t>particular bias</w:t>
      </w:r>
      <w:proofErr w:type="gramEnd"/>
      <w:r w:rsidR="00F83934" w:rsidRPr="00C37F63">
        <w:rPr>
          <w:color w:val="C0504D" w:themeColor="accent2"/>
          <w:sz w:val="20"/>
          <w:szCs w:val="20"/>
        </w:rPr>
        <w:t xml:space="preserve"> or error (e.g. to always divide).</w:t>
      </w:r>
      <w:r w:rsidR="00175B64" w:rsidRPr="00175B64">
        <w:rPr>
          <w:color w:val="E36C0A" w:themeColor="accent6" w:themeShade="BF"/>
          <w:sz w:val="20"/>
          <w:szCs w:val="20"/>
        </w:rPr>
        <w:t xml:space="preserve"> </w:t>
      </w:r>
      <w:r w:rsidR="00FB4B01">
        <w:rPr>
          <w:sz w:val="20"/>
          <w:szCs w:val="20"/>
        </w:rPr>
        <w:t xml:space="preserve">Other research using analogous methods (Morvan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w:t>
      </w:r>
      <w:proofErr w:type="gramStart"/>
      <w:r>
        <w:rPr>
          <w:sz w:val="20"/>
          <w:szCs w:val="20"/>
        </w:rPr>
        <w:t>has to</w:t>
      </w:r>
      <w:proofErr w:type="gramEnd"/>
      <w:r>
        <w:rPr>
          <w:sz w:val="20"/>
          <w:szCs w:val="20"/>
        </w:rPr>
        <w:t xml:space="preserve">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r w:rsidR="00B96F80">
        <w:rPr>
          <w:sz w:val="20"/>
          <w:szCs w:val="20"/>
        </w:rPr>
        <w:t xml:space="preserve">Sloman, 1996; </w:t>
      </w:r>
      <w:r>
        <w:rPr>
          <w:sz w:val="20"/>
          <w:szCs w:val="20"/>
        </w:rPr>
        <w:t xml:space="preserve">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w:t>
      </w:r>
      <w:proofErr w:type="gramStart"/>
      <w:r>
        <w:rPr>
          <w:sz w:val="20"/>
          <w:szCs w:val="20"/>
        </w:rPr>
        <w:t>altogether, and</w:t>
      </w:r>
      <w:proofErr w:type="gramEnd"/>
      <w:r>
        <w:rPr>
          <w:sz w:val="20"/>
          <w:szCs w:val="20"/>
        </w:rPr>
        <w:t xml:space="preserve">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O’Doherty,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w:t>
      </w:r>
      <w:proofErr w:type="gramStart"/>
      <w:r>
        <w:rPr>
          <w:sz w:val="20"/>
          <w:szCs w:val="20"/>
        </w:rPr>
        <w:t>it</w:t>
      </w:r>
      <w:proofErr w:type="gramEnd"/>
      <w:r>
        <w:rPr>
          <w:sz w:val="20"/>
          <w:szCs w:val="20"/>
        </w:rPr>
        <w:t xml:space="preserve">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Gick &amp; Holyoak, 1983; Markovits &amp; Savary,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w:t>
      </w:r>
      <w:proofErr w:type="gramStart"/>
      <w:r w:rsidRPr="00993335">
        <w:rPr>
          <w:color w:val="C0504D" w:themeColor="accent2"/>
          <w:sz w:val="20"/>
          <w:szCs w:val="20"/>
        </w:rPr>
        <w:t>transfer</w:t>
      </w:r>
      <w:r w:rsidR="00715DA7" w:rsidRPr="00993335">
        <w:rPr>
          <w:color w:val="C0504D" w:themeColor="accent2"/>
          <w:sz w:val="20"/>
          <w:szCs w:val="20"/>
        </w:rPr>
        <w:t>:</w:t>
      </w:r>
      <w:proofErr w:type="gramEnd"/>
      <w:r w:rsidR="00715DA7" w:rsidRPr="00993335">
        <w:rPr>
          <w:color w:val="C0504D" w:themeColor="accent2"/>
          <w:sz w:val="20"/>
          <w:szCs w:val="20"/>
        </w:rPr>
        <w:t xml:space="preserve"> Benefits of practice do not generalize even to</w:t>
      </w:r>
      <w:r w:rsidR="004A3F21" w:rsidRPr="00993335">
        <w:rPr>
          <w:color w:val="C0504D" w:themeColor="accent2"/>
          <w:sz w:val="20"/>
          <w:szCs w:val="20"/>
        </w:rPr>
        <w:t xml:space="preserve"> </w:t>
      </w:r>
      <w:proofErr w:type="gramStart"/>
      <w:r w:rsidR="004A3F21" w:rsidRPr="00993335">
        <w:rPr>
          <w:color w:val="C0504D" w:themeColor="accent2"/>
          <w:sz w:val="20"/>
          <w:szCs w:val="20"/>
        </w:rPr>
        <w:t>closely-related</w:t>
      </w:r>
      <w:proofErr w:type="gramEnd"/>
      <w:r w:rsidR="004A3F21" w:rsidRPr="00993335">
        <w:rPr>
          <w:color w:val="C0504D" w:themeColor="accent2"/>
          <w:sz w:val="20"/>
          <w:szCs w:val="20"/>
        </w:rPr>
        <w:t xml:space="preserve">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w:t>
      </w:r>
      <w:proofErr w:type="gramStart"/>
      <w:r w:rsidRPr="00993335">
        <w:rPr>
          <w:color w:val="C0504D" w:themeColor="accent2"/>
          <w:sz w:val="20"/>
          <w:szCs w:val="20"/>
        </w:rPr>
        <w:t>particular conditions</w:t>
      </w:r>
      <w:proofErr w:type="gramEnd"/>
      <w:r w:rsidRPr="00993335">
        <w:rPr>
          <w:color w:val="C0504D" w:themeColor="accent2"/>
          <w:sz w:val="20"/>
          <w:szCs w:val="20"/>
        </w:rPr>
        <w:t xml:space="preserve">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w:t>
      </w:r>
      <w:proofErr w:type="gramStart"/>
      <w:r w:rsidR="004A3F21" w:rsidRPr="00993335">
        <w:rPr>
          <w:color w:val="C0504D" w:themeColor="accent2"/>
          <w:sz w:val="20"/>
          <w:szCs w:val="20"/>
        </w:rPr>
        <w:t>presentation, and</w:t>
      </w:r>
      <w:proofErr w:type="gramEnd"/>
      <w:r w:rsidR="004A3F21" w:rsidRPr="00993335">
        <w:rPr>
          <w:color w:val="C0504D" w:themeColor="accent2"/>
          <w:sz w:val="20"/>
          <w:szCs w:val="20"/>
        </w:rPr>
        <w:t xml:space="preserve">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01A38855" w:rsidR="00B54B24" w:rsidRPr="00993335"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w:t>
      </w:r>
      <w:r w:rsidR="00C12E6B">
        <w:rPr>
          <w:color w:val="C0504D" w:themeColor="accent2"/>
          <w:sz w:val="20"/>
          <w:szCs w:val="20"/>
        </w:rPr>
        <w:t xml:space="preserve">transfer </w:t>
      </w:r>
      <w:r w:rsidR="001261EC">
        <w:rPr>
          <w:color w:val="C0504D" w:themeColor="accent2"/>
          <w:sz w:val="20"/>
          <w:szCs w:val="20"/>
        </w:rPr>
        <w:t xml:space="preserve">of this experience </w:t>
      </w:r>
      <w:r w:rsidR="00166102">
        <w:rPr>
          <w:color w:val="C0504D" w:themeColor="accent2"/>
          <w:sz w:val="20"/>
          <w:szCs w:val="20"/>
        </w:rPr>
        <w:t>relative to control groups when the guidance is no longer available</w:t>
      </w:r>
      <w:r w:rsidR="000F0486">
        <w:rPr>
          <w:color w:val="C0504D" w:themeColor="accent2"/>
          <w:sz w:val="20"/>
          <w:szCs w:val="20"/>
        </w:rPr>
        <w:t>.</w:t>
      </w:r>
      <w:r w:rsidR="000F0486">
        <w:rPr>
          <w:rStyle w:val="FootnoteReference"/>
          <w:color w:val="C0504D" w:themeColor="accent2"/>
          <w:sz w:val="20"/>
          <w:szCs w:val="20"/>
        </w:rPr>
        <w:footnoteReference w:id="3"/>
      </w:r>
      <w:r w:rsidR="000F0486">
        <w:rPr>
          <w:color w:val="C0504D" w:themeColor="accent2"/>
          <w:sz w:val="20"/>
          <w:szCs w:val="20"/>
        </w:rPr>
        <w:t xml:space="preserve"> </w:t>
      </w:r>
      <w:r w:rsidR="0099310D">
        <w:rPr>
          <w:color w:val="C0504D" w:themeColor="accent2"/>
          <w:sz w:val="20"/>
          <w:szCs w:val="20"/>
        </w:rPr>
        <w:t>Taken together,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690438A3"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w:t>
      </w:r>
      <w:proofErr w:type="gramStart"/>
      <w:r w:rsidR="005F5620">
        <w:rPr>
          <w:sz w:val="20"/>
          <w:szCs w:val="20"/>
        </w:rPr>
        <w:t>are capable of resolving</w:t>
      </w:r>
      <w:proofErr w:type="gramEnd"/>
      <w:r w:rsidR="005F5620">
        <w:rPr>
          <w:sz w:val="20"/>
          <w:szCs w:val="20"/>
        </w:rPr>
        <w:t xml:space="preserve"> the dilemma in the reaching version of the task.</w:t>
      </w:r>
    </w:p>
    <w:p w14:paraId="2BC1AA58" w14:textId="77777777" w:rsidR="004063D4" w:rsidRDefault="004063D4" w:rsidP="00B92266">
      <w:pPr>
        <w:spacing w:line="360" w:lineRule="auto"/>
        <w:rPr>
          <w:sz w:val="20"/>
          <w:szCs w:val="20"/>
        </w:rPr>
      </w:pPr>
    </w:p>
    <w:p w14:paraId="67105D77" w14:textId="54A95852"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w:t>
      </w:r>
      <w:r w:rsidR="00F3399E">
        <w:rPr>
          <w:color w:val="C0504D" w:themeColor="accent2"/>
          <w:sz w:val="20"/>
          <w:szCs w:val="20"/>
        </w:rPr>
        <w:t>E</w:t>
      </w:r>
      <w:r w:rsidRPr="00993335">
        <w:rPr>
          <w:color w:val="C0504D" w:themeColor="accent2"/>
          <w:sz w:val="20"/>
          <w:szCs w:val="20"/>
        </w:rPr>
        <w:t>xperiment</w:t>
      </w:r>
      <w:r w:rsidR="005F5620">
        <w:rPr>
          <w:color w:val="C0504D" w:themeColor="accent2"/>
          <w:sz w:val="20"/>
          <w:szCs w:val="20"/>
        </w:rPr>
        <w:t xml:space="preserve">s </w:t>
      </w:r>
      <w:r w:rsidR="00F3399E">
        <w:rPr>
          <w:color w:val="C0504D" w:themeColor="accent2"/>
          <w:sz w:val="20"/>
          <w:szCs w:val="20"/>
        </w:rPr>
        <w:t>1,</w:t>
      </w:r>
      <w:r w:rsidRPr="00993335">
        <w:rPr>
          <w:color w:val="C0504D" w:themeColor="accent2"/>
          <w:sz w:val="20"/>
          <w:szCs w:val="20"/>
        </w:rPr>
        <w:t xml:space="preserve">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lastRenderedPageBreak/>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6051D9">
        <w:rPr>
          <w:color w:val="943634" w:themeColor="accent2" w:themeShade="BF"/>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w:t>
      </w:r>
      <w:proofErr w:type="gramStart"/>
      <w:r w:rsidR="00FB4B01">
        <w:rPr>
          <w:sz w:val="20"/>
          <w:szCs w:val="20"/>
        </w:rPr>
        <w:t>In order to</w:t>
      </w:r>
      <w:proofErr w:type="gramEnd"/>
      <w:r w:rsidR="00FB4B01">
        <w:rPr>
          <w:sz w:val="20"/>
          <w:szCs w:val="20"/>
        </w:rPr>
        <w:t xml:space="preserve">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w:t>
      </w:r>
      <w:r w:rsidR="00FB4B01">
        <w:rPr>
          <w:sz w:val="20"/>
          <w:szCs w:val="20"/>
        </w:rPr>
        <w:lastRenderedPageBreak/>
        <w:t xml:space="preserve">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w:t>
      </w:r>
      <w:proofErr w:type="gramStart"/>
      <w:r w:rsidR="000F17D4" w:rsidRPr="00CA26CC">
        <w:rPr>
          <w:rFonts w:asciiTheme="majorHAnsi" w:hAnsiTheme="majorHAnsi" w:cstheme="majorHAnsi"/>
          <w:color w:val="C0504D" w:themeColor="accent2"/>
          <w:sz w:val="20"/>
          <w:szCs w:val="20"/>
        </w:rPr>
        <w:t>are</w:t>
      </w:r>
      <w:proofErr w:type="gramEnd"/>
      <w:r w:rsidR="000F17D4" w:rsidRPr="00CA26CC">
        <w:rPr>
          <w:rFonts w:asciiTheme="majorHAnsi" w:hAnsiTheme="majorHAnsi" w:cstheme="majorHAnsi"/>
          <w:color w:val="C0504D" w:themeColor="accent2"/>
          <w:sz w:val="20"/>
          <w:szCs w:val="20"/>
        </w:rPr>
        <w:t xml:space="preserv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w:t>
      </w:r>
      <w:r>
        <w:rPr>
          <w:sz w:val="20"/>
          <w:szCs w:val="20"/>
        </w:rPr>
        <w:lastRenderedPageBreak/>
        <w:t xml:space="preserve">selected </w:t>
      </w:r>
      <w:proofErr w:type="gramStart"/>
      <w:r>
        <w:rPr>
          <w:sz w:val="20"/>
          <w:szCs w:val="20"/>
        </w:rPr>
        <w:t>on the basis of</w:t>
      </w:r>
      <w:proofErr w:type="gramEnd"/>
      <w:r>
        <w:rPr>
          <w:sz w:val="20"/>
          <w:szCs w:val="20"/>
        </w:rPr>
        <w:t xml:space="preserve">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r w:rsidRPr="00E05943">
        <w:rPr>
          <w:b/>
          <w:bCs/>
          <w:color w:val="C0504D" w:themeColor="accent2"/>
          <w:sz w:val="20"/>
          <w:szCs w:val="20"/>
        </w:rPr>
        <w:t>Analysis</w:t>
      </w:r>
    </w:p>
    <w:bookmarkEnd w:id="4"/>
    <w:p w14:paraId="5244CCF0" w14:textId="3CA5650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(v</w:t>
      </w:r>
      <w:r w:rsidR="00FD095C">
        <w:rPr>
          <w:color w:val="C0504D" w:themeColor="accent2"/>
          <w:sz w:val="20"/>
          <w:szCs w:val="20"/>
        </w:rPr>
        <w:t>4</w:t>
      </w:r>
      <w:r w:rsidRPr="00E05943">
        <w:rPr>
          <w:color w:val="C0504D" w:themeColor="accent2"/>
          <w:sz w:val="20"/>
          <w:szCs w:val="20"/>
        </w:rPr>
        <w:t>.</w:t>
      </w:r>
      <w:r w:rsidR="00FD095C">
        <w:rPr>
          <w:color w:val="C0504D" w:themeColor="accent2"/>
          <w:sz w:val="20"/>
          <w:szCs w:val="20"/>
        </w:rPr>
        <w:t>4.0</w:t>
      </w:r>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r w:rsidR="00FD095C">
        <w:rPr>
          <w:color w:val="C0504D" w:themeColor="accent2"/>
          <w:sz w:val="20"/>
          <w:szCs w:val="20"/>
        </w:rPr>
        <w:t>2.0.0. Wickham et al., 2019</w:t>
      </w:r>
      <w:r w:rsidRPr="00E05943">
        <w:rPr>
          <w:color w:val="C0504D" w:themeColor="accent2"/>
          <w:sz w:val="20"/>
          <w:szCs w:val="20"/>
        </w:rPr>
        <w:t xml:space="preserv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w:t>
      </w:r>
      <w:proofErr w:type="gramStart"/>
      <w:r w:rsidR="004C6F4A" w:rsidRPr="00E05943">
        <w:rPr>
          <w:color w:val="C0504D" w:themeColor="accent2"/>
          <w:sz w:val="20"/>
          <w:szCs w:val="20"/>
        </w:rPr>
        <w:t>N(</w:t>
      </w:r>
      <w:proofErr w:type="gramEnd"/>
      <w:r w:rsidR="004C6F4A" w:rsidRPr="00E05943">
        <w:rPr>
          <w:color w:val="C0504D" w:themeColor="accent2"/>
          <w:sz w:val="20"/>
          <w:szCs w:val="20"/>
        </w:rPr>
        <w:t>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 xml:space="preserve">models.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 xml:space="preserve">When they were </w:t>
      </w:r>
      <w:proofErr w:type="gramStart"/>
      <w:r w:rsidR="001F5727" w:rsidRPr="00E05943">
        <w:rPr>
          <w:color w:val="C0504D" w:themeColor="accent2"/>
          <w:sz w:val="20"/>
          <w:szCs w:val="20"/>
        </w:rPr>
        <w:t>told</w:t>
      </w:r>
      <w:proofErr w:type="gramEnd"/>
      <w:r w:rsidR="001F5727" w:rsidRPr="00E05943">
        <w:rPr>
          <w:color w:val="C0504D" w:themeColor="accent2"/>
          <w:sz w:val="20"/>
          <w:szCs w:val="20"/>
        </w:rPr>
        <w:t xml:space="preserve"> they would need to pick up one of the two blue beanbags (too far away to reach from the central chair)</w:t>
      </w:r>
      <w:r w:rsidRPr="00E05943">
        <w:rPr>
          <w:color w:val="C0504D" w:themeColor="accent2"/>
          <w:sz w:val="20"/>
          <w:szCs w:val="20"/>
        </w:rPr>
        <w:t xml:space="preserve">, they chose either the left or </w:t>
      </w:r>
      <w:proofErr w:type="gramStart"/>
      <w:r w:rsidRPr="00E05943">
        <w:rPr>
          <w:color w:val="C0504D" w:themeColor="accent2"/>
          <w:sz w:val="20"/>
          <w:szCs w:val="20"/>
        </w:rPr>
        <w:t>right side</w:t>
      </w:r>
      <w:proofErr w:type="gramEnd"/>
      <w:r w:rsidRPr="00E05943">
        <w:rPr>
          <w:color w:val="C0504D" w:themeColor="accent2"/>
          <w:sz w:val="20"/>
          <w:szCs w:val="20"/>
        </w:rPr>
        <w:t xml:space="preserv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6F19CA2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lastRenderedPageBreak/>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w:t>
      </w:r>
      <w:proofErr w:type="spellStart"/>
      <w:r w:rsidR="00F3399E">
        <w:rPr>
          <w:color w:val="C0504D" w:themeColor="accent2"/>
          <w:sz w:val="20"/>
          <w:szCs w:val="20"/>
        </w:rPr>
        <w:t>behaviour</w:t>
      </w:r>
      <w:proofErr w:type="spellEnd"/>
      <w:r w:rsidR="00F3399E">
        <w:rPr>
          <w:color w:val="C0504D" w:themeColor="accent2"/>
          <w:sz w:val="20"/>
          <w:szCs w:val="20"/>
        </w:rPr>
        <w:t xml:space="preserve"> </w:t>
      </w:r>
      <w:r w:rsidR="00E5550E" w:rsidRPr="00E05943">
        <w:rPr>
          <w:color w:val="C0504D" w:themeColor="accent2"/>
          <w:sz w:val="20"/>
          <w:szCs w:val="20"/>
        </w:rPr>
        <w:t xml:space="preserve">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F3399E">
        <w:rPr>
          <w:color w:val="C0504D" w:themeColor="accent2"/>
          <w:sz w:val="20"/>
          <w:szCs w:val="20"/>
        </w:rPr>
        <w:t xml:space="preserve">s </w:t>
      </w:r>
      <w:r w:rsidR="00170BAA" w:rsidRPr="00E05943">
        <w:rPr>
          <w:color w:val="C0504D" w:themeColor="accent2"/>
          <w:sz w:val="20"/>
          <w:szCs w:val="20"/>
        </w:rPr>
        <w:t>in this task</w:t>
      </w:r>
      <w:r w:rsidR="00E5550E" w:rsidRPr="00E05943">
        <w:rPr>
          <w:color w:val="C0504D" w:themeColor="accent2"/>
          <w:sz w:val="20"/>
          <w:szCs w:val="20"/>
        </w:rPr>
        <w:t xml:space="preserve">, </w:t>
      </w:r>
      <w:proofErr w:type="gramStart"/>
      <w:r w:rsidR="00E5550E" w:rsidRPr="00E05943">
        <w:rPr>
          <w:color w:val="C0504D" w:themeColor="accent2"/>
          <w:sz w:val="20"/>
          <w:szCs w:val="20"/>
        </w:rPr>
        <w:t xml:space="preserve">and </w:t>
      </w:r>
      <w:r w:rsidR="00F3399E">
        <w:rPr>
          <w:color w:val="C0504D" w:themeColor="accent2"/>
          <w:sz w:val="20"/>
          <w:szCs w:val="20"/>
        </w:rPr>
        <w:t>also</w:t>
      </w:r>
      <w:proofErr w:type="gramEnd"/>
      <w:r w:rsidR="00F3399E">
        <w:rPr>
          <w:color w:val="C0504D" w:themeColor="accent2"/>
          <w:sz w:val="20"/>
          <w:szCs w:val="20"/>
        </w:rPr>
        <w:t xml:space="preserve"> </w:t>
      </w:r>
      <w:r w:rsidR="00E5550E" w:rsidRPr="00E05943">
        <w:rPr>
          <w:color w:val="C0504D" w:themeColor="accent2"/>
          <w:sz w:val="20"/>
          <w:szCs w:val="20"/>
        </w:rPr>
        <w:t xml:space="preserve">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Pr>
          <w:noProof/>
        </w:rPr>
        <w:fldChar w:fldCharType="begin"/>
      </w:r>
      <w:r>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rsidR="00000000">
        <w:rPr>
          <w:noProof/>
        </w:rPr>
        <w:fldChar w:fldCharType="separate"/>
      </w:r>
      <w:r w:rsidR="004A26A9">
        <w:rPr>
          <w:noProof/>
        </w:rPr>
        <w:pict w14:anchorId="6A36E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7.7pt;height:187.2pt;mso-width-percent:0;mso-height-percent:0;mso-width-percent:0;mso-height-percent:0">
            <v:imagedata r:id="rId8" r:href="rId9"/>
          </v:shape>
        </w:pict>
      </w:r>
      <w:r w:rsidR="00000000">
        <w:rPr>
          <w:noProof/>
        </w:rPr>
        <w:fldChar w:fldCharType="end"/>
      </w:r>
      <w:r>
        <w:rPr>
          <w:noProof/>
        </w:rPr>
        <w:fldChar w:fldCharType="end"/>
      </w:r>
      <w:r>
        <w:rPr>
          <w:noProof/>
        </w:rPr>
        <w:fldChar w:fldCharType="end"/>
      </w:r>
      <w:r>
        <w:fldChar w:fldCharType="end"/>
      </w:r>
    </w:p>
    <w:p w14:paraId="4D118448" w14:textId="08E317C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 xml:space="preserve">Figure 2. Results for </w:t>
      </w:r>
      <w:proofErr w:type="gramStart"/>
      <w:r w:rsidRPr="00D53F4D">
        <w:rPr>
          <w:rFonts w:ascii="Nunito" w:eastAsia="Nunito" w:hAnsi="Nunito" w:cs="Nunito"/>
          <w:i/>
          <w:iCs/>
          <w:sz w:val="20"/>
          <w:szCs w:val="20"/>
        </w:rPr>
        <w:t>each individual</w:t>
      </w:r>
      <w:proofErr w:type="gramEnd"/>
      <w:r w:rsidRPr="00D53F4D">
        <w:rPr>
          <w:rFonts w:ascii="Nunito" w:eastAsia="Nunito" w:hAnsi="Nunito" w:cs="Nunito"/>
          <w:i/>
          <w:iCs/>
          <w:sz w:val="20"/>
          <w:szCs w:val="20"/>
        </w:rPr>
        <w:t xml:space="preserve">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 xml:space="preserve">Each dot is a </w:t>
      </w:r>
      <w:proofErr w:type="gramStart"/>
      <w:r w:rsidR="00541213" w:rsidRPr="00D53F4D">
        <w:rPr>
          <w:rFonts w:ascii="Nunito" w:eastAsia="Nunito" w:hAnsi="Nunito" w:cs="Nunito"/>
          <w:i/>
          <w:iCs/>
          <w:sz w:val="20"/>
          <w:szCs w:val="20"/>
        </w:rPr>
        <w:t>trial</w:t>
      </w:r>
      <w:proofErr w:type="gramEnd"/>
      <w:r w:rsidR="00541213" w:rsidRPr="00D53F4D">
        <w:rPr>
          <w:rFonts w:ascii="Nunito" w:eastAsia="Nunito" w:hAnsi="Nunito" w:cs="Nunito"/>
          <w:i/>
          <w:iCs/>
          <w:sz w:val="20"/>
          <w:szCs w:val="20"/>
        </w:rPr>
        <w:t xml:space="preserve"> and each facet is a single participant.</w:t>
      </w:r>
      <w:r w:rsidR="00541213">
        <w:rPr>
          <w:rFonts w:ascii="Nunito" w:eastAsia="Nunito" w:hAnsi="Nunito" w:cs="Nunito"/>
          <w:i/>
          <w:iCs/>
          <w:sz w:val="20"/>
          <w:szCs w:val="20"/>
        </w:rPr>
        <w:t xml:space="preserve"> </w:t>
      </w:r>
      <w:r w:rsidR="00CD541D" w:rsidRPr="00CD541D">
        <w:rPr>
          <w:rFonts w:ascii="Nunito" w:eastAsia="Nunito" w:hAnsi="Nunito" w:cs="Nunito"/>
          <w:i/>
          <w:iCs/>
          <w:color w:val="943634" w:themeColor="accent2" w:themeShade="BF"/>
          <w:sz w:val="20"/>
          <w:szCs w:val="20"/>
        </w:rPr>
        <w:t>The distance from center to each of the</w:t>
      </w:r>
      <w:r w:rsidR="00541213" w:rsidRPr="00CD541D">
        <w:rPr>
          <w:rFonts w:ascii="Nunito" w:eastAsia="Nunito" w:hAnsi="Nunito" w:cs="Nunito"/>
          <w:i/>
          <w:iCs/>
          <w:color w:val="943634" w:themeColor="accent2" w:themeShade="BF"/>
          <w:sz w:val="20"/>
          <w:szCs w:val="20"/>
        </w:rPr>
        <w:t xml:space="preserve"> hoops</w:t>
      </w:r>
      <w:r w:rsidR="00CD541D" w:rsidRPr="00CD541D">
        <w:rPr>
          <w:rFonts w:ascii="Nunito" w:eastAsia="Nunito" w:hAnsi="Nunito" w:cs="Nunito"/>
          <w:i/>
          <w:iCs/>
          <w:color w:val="943634" w:themeColor="accent2" w:themeShade="BF"/>
          <w:sz w:val="20"/>
          <w:szCs w:val="20"/>
        </w:rPr>
        <w:t xml:space="preserve"> is shown on the x axis</w:t>
      </w:r>
      <w:r w:rsidR="00541213" w:rsidRPr="00CD541D">
        <w:rPr>
          <w:rFonts w:ascii="Nunito" w:eastAsia="Nunito" w:hAnsi="Nunito" w:cs="Nunito"/>
          <w:i/>
          <w:iCs/>
          <w:color w:val="943634" w:themeColor="accent2" w:themeShade="BF"/>
          <w:sz w:val="20"/>
          <w:szCs w:val="20"/>
        </w:rPr>
        <w:t>.</w:t>
      </w:r>
      <w:r w:rsidR="00541213">
        <w:rPr>
          <w:rFonts w:ascii="Nunito" w:eastAsia="Nunito" w:hAnsi="Nunito" w:cs="Nunito"/>
          <w:i/>
          <w:iCs/>
          <w:sz w:val="20"/>
          <w:szCs w:val="20"/>
        </w:rPr>
        <w:t xml:space="preserve">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w:t>
      </w:r>
      <w:r w:rsidR="00F3399E">
        <w:rPr>
          <w:rFonts w:ascii="Nunito" w:eastAsia="Nunito" w:hAnsi="Nunito" w:cs="Nunito"/>
          <w:i/>
          <w:iCs/>
          <w:color w:val="C0504D" w:themeColor="accent2"/>
          <w:sz w:val="20"/>
          <w:szCs w:val="20"/>
        </w:rPr>
        <w:t xml:space="preserve">hoop separation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p>
    <w:p w14:paraId="292AE9CD" w14:textId="7AFD5E9E" w:rsidR="00D11079" w:rsidRPr="00E05943" w:rsidRDefault="004C2C56" w:rsidP="001B7DCA">
      <w:pPr>
        <w:spacing w:after="160" w:line="360" w:lineRule="auto"/>
        <w:rPr>
          <w:color w:val="C0504D" w:themeColor="accent2"/>
          <w:sz w:val="20"/>
          <w:szCs w:val="20"/>
        </w:rPr>
      </w:pPr>
      <w:r>
        <w:rPr>
          <w:rFonts w:eastAsia="Nunito"/>
          <w:color w:val="C0504D" w:themeColor="accent2"/>
          <w:sz w:val="20"/>
          <w:szCs w:val="20"/>
        </w:rPr>
        <w:t xml:space="preserve">The crosses on each facet of Figure 2 show where participants should have chosen to stand under a strictly optimal model. </w:t>
      </w:r>
      <w:r w:rsidRPr="004C2C56">
        <w:rPr>
          <w:rFonts w:eastAsia="Nunito"/>
          <w:color w:val="C0504D" w:themeColor="accent2"/>
          <w:sz w:val="20"/>
          <w:szCs w:val="20"/>
        </w:rPr>
        <w:t>Appendix A presents a more moderate optimal standard, showing where participants choose to stand when they are explicitly aware of the optimal solution.</w:t>
      </w:r>
      <w:r>
        <w:rPr>
          <w:rFonts w:eastAsia="Nunito"/>
          <w:color w:val="C0504D" w:themeColor="accent2"/>
          <w:sz w:val="20"/>
          <w:szCs w:val="20"/>
        </w:rPr>
        <w:t xml:space="preserve"> By either standard, no individual, in either group, chose optimal standing positions and by eye, there are no obvious differences between the groups. T</w:t>
      </w:r>
      <w:r w:rsidR="00E05943" w:rsidRPr="00E05943">
        <w:rPr>
          <w:color w:val="C0504D" w:themeColor="accent2"/>
          <w:sz w:val="20"/>
          <w:szCs w:val="20"/>
        </w:rPr>
        <w: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(95% HPDI of [0.4, 0.79] for the near hoops and [0.25, 0.72] for the far hoops). The primed group, while not following the optimal strategy, do appear </w:t>
      </w:r>
      <w:r w:rsidR="001B7DCA" w:rsidRPr="00E05943">
        <w:rPr>
          <w:color w:val="C0504D" w:themeColor="accent2"/>
          <w:sz w:val="20"/>
          <w:szCs w:val="20"/>
        </w:rPr>
        <w:lastRenderedPageBreak/>
        <w:t xml:space="preserve">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5C492B">
        <w:rPr>
          <w:color w:val="C0504D" w:themeColor="accent2"/>
          <w:sz w:val="20"/>
          <w:szCs w:val="20"/>
        </w:rPr>
        <w:t xml:space="preserve">These results suggest </w:t>
      </w:r>
      <w:proofErr w:type="gramStart"/>
      <w:r w:rsidR="005C492B">
        <w:rPr>
          <w:color w:val="C0504D" w:themeColor="accent2"/>
          <w:sz w:val="20"/>
          <w:szCs w:val="20"/>
        </w:rPr>
        <w:t>that,</w:t>
      </w:r>
      <w:proofErr w:type="gramEnd"/>
      <w:r w:rsidR="005C492B">
        <w:rPr>
          <w:color w:val="C0504D" w:themeColor="accent2"/>
          <w:sz w:val="20"/>
          <w:szCs w:val="20"/>
        </w:rPr>
        <w:t xml:space="preserve"> counter to our expectations of a large and unambiguous improvement, the</w:t>
      </w:r>
      <w:r w:rsidR="00CD541D">
        <w:rPr>
          <w:color w:val="C0504D" w:themeColor="accent2"/>
          <w:sz w:val="20"/>
          <w:szCs w:val="20"/>
        </w:rPr>
        <w:t xml:space="preserve"> reaching task did not make participants </w:t>
      </w:r>
      <w:r w:rsidR="005C492B">
        <w:rPr>
          <w:color w:val="C0504D" w:themeColor="accent2"/>
          <w:sz w:val="20"/>
          <w:szCs w:val="20"/>
        </w:rPr>
        <w:t xml:space="preserve">substantially </w:t>
      </w:r>
      <w:r w:rsidR="00CD541D">
        <w:rPr>
          <w:color w:val="C0504D" w:themeColor="accent2"/>
          <w:sz w:val="20"/>
          <w:szCs w:val="20"/>
        </w:rPr>
        <w:t>better at making throwing task decisions</w:t>
      </w:r>
      <w:r w:rsidR="005C492B">
        <w:rPr>
          <w:color w:val="C0504D" w:themeColor="accent2"/>
          <w:sz w:val="20"/>
          <w:szCs w:val="20"/>
        </w:rPr>
        <w:t xml:space="preserve">.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54D0683"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xml:space="preserve">. </w:t>
      </w:r>
      <w:proofErr w:type="gramStart"/>
      <w:r>
        <w:rPr>
          <w:sz w:val="20"/>
          <w:szCs w:val="20"/>
        </w:rPr>
        <w:t>It is clear that both</w:t>
      </w:r>
      <w:proofErr w:type="gramEnd"/>
      <w:r>
        <w:rPr>
          <w:sz w:val="20"/>
          <w:szCs w:val="20"/>
        </w:rPr>
        <w:t xml:space="preserve"> the primed and control groups fall short of this standard. Because we did not include a session to measure </w:t>
      </w:r>
      <w:proofErr w:type="gramStart"/>
      <w:r>
        <w:rPr>
          <w:sz w:val="20"/>
          <w:szCs w:val="20"/>
        </w:rPr>
        <w:t>each individual’s</w:t>
      </w:r>
      <w:proofErr w:type="gramEnd"/>
      <w:r>
        <w:rPr>
          <w:sz w:val="20"/>
          <w:szCs w:val="20"/>
        </w:rPr>
        <w:t xml:space="preserve">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Pr>
          <w:noProof/>
        </w:rPr>
        <w:fldChar w:fldCharType="begin"/>
      </w:r>
      <w:r>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rsidR="00000000">
        <w:rPr>
          <w:noProof/>
        </w:rPr>
        <w:fldChar w:fldCharType="separate"/>
      </w:r>
      <w:r w:rsidR="004A26A9">
        <w:rPr>
          <w:noProof/>
        </w:rPr>
        <w:pict w14:anchorId="655D6CF8">
          <v:shape id="_x0000_i1026" type="#_x0000_t75" alt="Image" style="width:266.1pt;height:213.5pt;mso-width-percent:0;mso-height-percent:0;mso-width-percent:0;mso-height-percent:0">
            <v:imagedata r:id="rId11" r:href="rId12"/>
          </v:shape>
        </w:pict>
      </w:r>
      <w:r w:rsidR="00000000">
        <w:rPr>
          <w:noProof/>
        </w:rPr>
        <w:fldChar w:fldCharType="end"/>
      </w:r>
      <w:r>
        <w:rPr>
          <w:noProof/>
        </w:rPr>
        <w:fldChar w:fldCharType="end"/>
      </w:r>
      <w:r>
        <w:rPr>
          <w:noProof/>
        </w:rPr>
        <w:fldChar w:fldCharType="end"/>
      </w:r>
      <w:r>
        <w:fldChar w:fldCharType="end"/>
      </w:r>
    </w:p>
    <w:p w14:paraId="2169EF3E" w14:textId="0929F7D5"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w:t>
      </w:r>
      <w:r w:rsidR="005C492B">
        <w:rPr>
          <w:i/>
          <w:iCs/>
          <w:color w:val="C0504D" w:themeColor="accent2"/>
        </w:rPr>
        <w:t>Boxplots show the median (black line</w:t>
      </w:r>
      <w:proofErr w:type="gramStart"/>
      <w:r w:rsidR="005C492B">
        <w:rPr>
          <w:i/>
          <w:iCs/>
          <w:color w:val="C0504D" w:themeColor="accent2"/>
        </w:rPr>
        <w:t>)</w:t>
      </w:r>
      <w:proofErr w:type="gramEnd"/>
      <w:r w:rsidR="005C492B">
        <w:rPr>
          <w:i/>
          <w:iCs/>
          <w:color w:val="C0504D" w:themeColor="accent2"/>
        </w:rPr>
        <w:t xml:space="preserve"> and their vertical extent is the inter-quartile range.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06F20B6F" w:rsidR="00B54B24" w:rsidRPr="00463223" w:rsidRDefault="005C492B" w:rsidP="00FD3E3E">
      <w:pPr>
        <w:tabs>
          <w:tab w:val="left" w:pos="2410"/>
        </w:tabs>
        <w:spacing w:after="160" w:line="360" w:lineRule="auto"/>
        <w:rPr>
          <w:color w:val="C0504D" w:themeColor="accent2"/>
          <w:sz w:val="20"/>
          <w:szCs w:val="20"/>
        </w:rPr>
      </w:pPr>
      <w:r>
        <w:rPr>
          <w:color w:val="C0504D" w:themeColor="accent2"/>
          <w:sz w:val="20"/>
          <w:szCs w:val="20"/>
        </w:rPr>
        <w:t>We had expected that solving the focus-divide dilemma correctly in the reaching task would produce a large and unambiguous shift towards solving the dilemma optimally in the subsequent throwing version of the task. To our surprise, t</w:t>
      </w:r>
      <w:r w:rsidR="00CA364A" w:rsidRPr="00463223">
        <w:rPr>
          <w:color w:val="C0504D" w:themeColor="accent2"/>
          <w:sz w:val="20"/>
          <w:szCs w:val="20"/>
        </w:rPr>
        <w:t>he results of Experiment 1A show that prim</w:t>
      </w:r>
      <w:r w:rsidR="00FD3E3E" w:rsidRPr="00463223">
        <w:rPr>
          <w:color w:val="C0504D" w:themeColor="accent2"/>
          <w:sz w:val="20"/>
          <w:szCs w:val="20"/>
        </w:rPr>
        <w:t>ing</w:t>
      </w:r>
      <w:r w:rsidR="00CA364A" w:rsidRPr="00463223">
        <w:rPr>
          <w:color w:val="C0504D" w:themeColor="accent2"/>
          <w:sz w:val="20"/>
          <w:szCs w:val="20"/>
        </w:rPr>
        <w:t xml:space="preserve"> participants </w:t>
      </w:r>
      <w:r>
        <w:rPr>
          <w:color w:val="C0504D" w:themeColor="accent2"/>
          <w:sz w:val="20"/>
          <w:szCs w:val="20"/>
        </w:rPr>
        <w:t>with the reaching task</w:t>
      </w:r>
      <w:r w:rsidR="00CA364A" w:rsidRPr="00463223">
        <w:rPr>
          <w:color w:val="C0504D" w:themeColor="accent2"/>
          <w:sz w:val="20"/>
          <w:szCs w:val="20"/>
        </w:rPr>
        <w:t xml:space="preserve"> did not </w:t>
      </w:r>
      <w:r w:rsidR="00FD3E3E" w:rsidRPr="00463223">
        <w:rPr>
          <w:color w:val="C0504D" w:themeColor="accent2"/>
          <w:sz w:val="20"/>
          <w:szCs w:val="20"/>
        </w:rPr>
        <w:t>produce the large shift towards optimality in the throwing task</w:t>
      </w:r>
      <w:r>
        <w:rPr>
          <w:color w:val="C0504D" w:themeColor="accent2"/>
          <w:sz w:val="20"/>
          <w:szCs w:val="20"/>
        </w:rPr>
        <w:t xml:space="preserve"> that we were expecting.</w:t>
      </w:r>
      <w:r w:rsidR="00FD3E3E" w:rsidRPr="00463223">
        <w:rPr>
          <w:color w:val="C0504D" w:themeColor="accent2"/>
          <w:sz w:val="20"/>
          <w:szCs w:val="20"/>
        </w:rPr>
        <w:t xml:space="preserve"> However, </w:t>
      </w:r>
      <w:r w:rsidR="00CA364A" w:rsidRPr="00463223">
        <w:rPr>
          <w:color w:val="C0504D" w:themeColor="accent2"/>
          <w:sz w:val="20"/>
          <w:szCs w:val="20"/>
        </w:rPr>
        <w:t xml:space="preserve">the intervention led (some) participants in the primed group to </w:t>
      </w:r>
      <w:r w:rsidR="00FD3E3E"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00FD3E3E" w:rsidRPr="00463223">
        <w:rPr>
          <w:color w:val="C0504D" w:themeColor="accent2"/>
          <w:sz w:val="20"/>
          <w:szCs w:val="20"/>
        </w:rPr>
        <w:t>small</w:t>
      </w:r>
      <w:r w:rsidR="00463223">
        <w:rPr>
          <w:color w:val="C0504D" w:themeColor="accent2"/>
          <w:sz w:val="20"/>
          <w:szCs w:val="20"/>
        </w:rPr>
        <w:t>,</w:t>
      </w:r>
      <w:r w:rsidR="00FD3E3E"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00FD3E3E"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00FD3E3E"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00FD3E3E" w:rsidRPr="00463223">
        <w:rPr>
          <w:color w:val="C0504D" w:themeColor="accent2"/>
          <w:sz w:val="20"/>
          <w:szCs w:val="20"/>
        </w:rPr>
        <w:t xml:space="preserve"> due simply to chance</w:t>
      </w:r>
      <w:r w:rsidR="00D11D80" w:rsidRPr="00463223">
        <w:rPr>
          <w:color w:val="C0504D" w:themeColor="accent2"/>
          <w:sz w:val="20"/>
          <w:szCs w:val="20"/>
        </w:rPr>
        <w:t xml:space="preserve">. </w:t>
      </w:r>
      <w:r>
        <w:rPr>
          <w:color w:val="C0504D" w:themeColor="accent2"/>
          <w:sz w:val="20"/>
          <w:szCs w:val="20"/>
        </w:rPr>
        <w:t>These two experiments reinforced the conclusion that there is no substantial or consistent difference in standing position choices in the throwing task between participants who are primed with reaching relative to control groups</w:t>
      </w:r>
      <w:r w:rsidRPr="00E05943">
        <w:rPr>
          <w:color w:val="C0504D" w:themeColor="accent2"/>
          <w:sz w:val="20"/>
          <w:szCs w:val="20"/>
        </w:rPr>
        <w:t>.</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3190C00D"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xml:space="preserve">. The rationale is to confirm the results of Experiment 1A </w:t>
      </w:r>
      <w:proofErr w:type="gramStart"/>
      <w:r w:rsidR="00F2363A" w:rsidRPr="00463223">
        <w:rPr>
          <w:color w:val="C0504D" w:themeColor="accent2"/>
          <w:sz w:val="20"/>
          <w:szCs w:val="20"/>
        </w:rPr>
        <w:t>and also</w:t>
      </w:r>
      <w:proofErr w:type="gramEnd"/>
      <w:r w:rsidR="00F2363A" w:rsidRPr="00463223">
        <w:rPr>
          <w:color w:val="C0504D" w:themeColor="accent2"/>
          <w:sz w:val="20"/>
          <w:szCs w:val="20"/>
        </w:rPr>
        <w:t xml:space="preserve">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w:t>
      </w:r>
      <w:r w:rsidR="00F2363A" w:rsidRPr="00463223">
        <w:rPr>
          <w:color w:val="C0504D" w:themeColor="accent2"/>
          <w:sz w:val="20"/>
          <w:szCs w:val="20"/>
        </w:rPr>
        <w:lastRenderedPageBreak/>
        <w:t>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w:t>
      </w:r>
      <w:proofErr w:type="gramStart"/>
      <w:r w:rsidR="00FD3E3E" w:rsidRPr="00463223">
        <w:rPr>
          <w:color w:val="C0504D" w:themeColor="accent2"/>
          <w:sz w:val="20"/>
          <w:szCs w:val="20"/>
        </w:rPr>
        <w:t>similar to</w:t>
      </w:r>
      <w:proofErr w:type="gramEnd"/>
      <w:r w:rsidR="00FD3E3E" w:rsidRPr="00463223">
        <w:rPr>
          <w:color w:val="C0504D" w:themeColor="accent2"/>
          <w:sz w:val="20"/>
          <w:szCs w:val="20"/>
        </w:rPr>
        <w:t xml:space="preserve"> 1A, except we asked all participants to complete the throwing task twice, once before and once after the</w:t>
      </w:r>
      <w:r w:rsidR="00F2363A" w:rsidRPr="00463223">
        <w:rPr>
          <w:color w:val="C0504D" w:themeColor="accent2"/>
          <w:sz w:val="20"/>
          <w:szCs w:val="20"/>
        </w:rPr>
        <w:t xml:space="preserve"> </w:t>
      </w:r>
      <w:r w:rsidR="00413F94">
        <w:rPr>
          <w:color w:val="C0504D" w:themeColor="accent2"/>
          <w:sz w:val="20"/>
          <w:szCs w:val="20"/>
        </w:rPr>
        <w:t>reaching</w:t>
      </w:r>
      <w:r w:rsidR="00F2363A" w:rsidRPr="00463223">
        <w:rPr>
          <w:color w:val="C0504D" w:themeColor="accent2"/>
          <w:sz w:val="20"/>
          <w:szCs w:val="20"/>
        </w:rPr>
        <w:t>-task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w:t>
      </w:r>
      <w:r w:rsidR="00413F94">
        <w:rPr>
          <w:color w:val="C0504D" w:themeColor="accent2"/>
          <w:sz w:val="20"/>
          <w:szCs w:val="20"/>
        </w:rPr>
        <w:t>reaching</w:t>
      </w:r>
      <w:r w:rsidR="00FD3E3E" w:rsidRPr="00463223">
        <w:rPr>
          <w:color w:val="C0504D" w:themeColor="accent2"/>
          <w:sz w:val="20"/>
          <w:szCs w:val="20"/>
        </w:rPr>
        <w:t xml:space="preserv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4A55D920"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w:t>
      </w:r>
      <w:r w:rsidR="00066ABE">
        <w:rPr>
          <w:color w:val="C0504D" w:themeColor="accent2"/>
          <w:sz w:val="20"/>
          <w:szCs w:val="20"/>
        </w:rPr>
        <w:t>.</w:t>
      </w:r>
      <w:r>
        <w:rPr>
          <w:color w:val="C0504D" w:themeColor="accent2"/>
          <w:sz w:val="20"/>
          <w:szCs w:val="20"/>
        </w:rPr>
        <w:t xml:space="preserve"> </w:t>
      </w:r>
      <w:r w:rsidR="00066ABE">
        <w:rPr>
          <w:color w:val="C0504D" w:themeColor="accent2"/>
          <w:sz w:val="20"/>
          <w:szCs w:val="20"/>
        </w:rPr>
        <w:t>A</w:t>
      </w:r>
      <w:r>
        <w:rPr>
          <w:color w:val="C0504D" w:themeColor="accent2"/>
          <w:sz w:val="20"/>
          <w:szCs w:val="20"/>
        </w:rPr>
        <w:t xml:space="preserve">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w:t>
      </w:r>
      <w:proofErr w:type="gramStart"/>
      <w:r w:rsidRPr="003A1D60">
        <w:rPr>
          <w:color w:val="C0504D" w:themeColor="accent2"/>
          <w:sz w:val="20"/>
          <w:szCs w:val="20"/>
        </w:rPr>
        <w:t>similar to</w:t>
      </w:r>
      <w:proofErr w:type="gramEnd"/>
      <w:r w:rsidRPr="003A1D60">
        <w:rPr>
          <w:color w:val="C0504D" w:themeColor="accent2"/>
          <w:sz w:val="20"/>
          <w:szCs w:val="20"/>
        </w:rPr>
        <w:t xml:space="preserve">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w:t>
      </w:r>
      <w:proofErr w:type="gramStart"/>
      <w:r w:rsidR="00B16478" w:rsidRPr="003A1D60">
        <w:rPr>
          <w:color w:val="C0504D" w:themeColor="accent2"/>
          <w:sz w:val="20"/>
          <w:szCs w:val="20"/>
        </w:rPr>
        <w:t>= )</w:t>
      </w:r>
      <w:proofErr w:type="gramEnd"/>
      <w:r w:rsidR="00B16478" w:rsidRPr="003A1D60">
        <w:rPr>
          <w:color w:val="C0504D" w:themeColor="accent2"/>
          <w:sz w:val="20"/>
          <w:szCs w:val="20"/>
        </w:rPr>
        <w:t xml:space="preserve">.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 xml:space="preserve">You find out that you have an exam tomorrow. You have [10 HOURS] to revise and there will be two questions where you must only answer one. You know what the two topics that the questions will be </w:t>
      </w:r>
      <w:proofErr w:type="gramStart"/>
      <w:r w:rsidRPr="003A1D60">
        <w:rPr>
          <w:i/>
          <w:iCs/>
          <w:color w:val="C0504D" w:themeColor="accent2"/>
          <w:sz w:val="20"/>
          <w:szCs w:val="20"/>
        </w:rPr>
        <w:t>on</w:t>
      </w:r>
      <w:proofErr w:type="gramEnd"/>
      <w:r w:rsidRPr="003A1D60">
        <w:rPr>
          <w:i/>
          <w:iCs/>
          <w:color w:val="C0504D" w:themeColor="accent2"/>
          <w:sz w:val="20"/>
          <w:szCs w:val="20"/>
        </w:rPr>
        <w:t xml:space="preserve">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7013E72C"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w:t>
      </w:r>
      <w:r w:rsidR="00413F94">
        <w:rPr>
          <w:color w:val="C0504D" w:themeColor="accent2"/>
          <w:sz w:val="20"/>
          <w:szCs w:val="20"/>
        </w:rPr>
        <w:t>reaching</w:t>
      </w:r>
      <w:r w:rsidR="002F6ABC" w:rsidRPr="003A1D60">
        <w:rPr>
          <w:color w:val="C0504D" w:themeColor="accent2"/>
          <w:sz w:val="20"/>
          <w:szCs w:val="20"/>
        </w:rPr>
        <w:t xml:space="preserv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w:t>
      </w:r>
      <w:r w:rsidR="00413F94">
        <w:rPr>
          <w:color w:val="C0504D" w:themeColor="accent2"/>
          <w:sz w:val="20"/>
          <w:szCs w:val="20"/>
        </w:rPr>
        <w:t>reaching</w:t>
      </w:r>
      <w:r w:rsidR="002F6ABC" w:rsidRPr="003A1D60">
        <w:rPr>
          <w:color w:val="C0504D" w:themeColor="accent2"/>
          <w:sz w:val="20"/>
          <w:szCs w:val="20"/>
        </w:rPr>
        <w:t xml:space="preserv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w:t>
      </w:r>
      <w:proofErr w:type="gramStart"/>
      <w:r>
        <w:rPr>
          <w:rFonts w:ascii="Nunito" w:eastAsia="Nunito" w:hAnsi="Nunito" w:cs="Nunito"/>
          <w:i/>
          <w:iCs/>
          <w:color w:val="C0504D" w:themeColor="accent2"/>
          <w:sz w:val="20"/>
          <w:szCs w:val="20"/>
        </w:rPr>
        <w:t xml:space="preserve">vertical </w:t>
      </w:r>
      <w:proofErr w:type="spellStart"/>
      <w:r w:rsidRPr="008665FC">
        <w:rPr>
          <w:rFonts w:ascii="Nunito" w:eastAsia="Nunito" w:hAnsi="Nunito" w:cs="Nunito"/>
          <w:i/>
          <w:iCs/>
          <w:color w:val="C0504D" w:themeColor="accent2"/>
          <w:sz w:val="20"/>
          <w:szCs w:val="20"/>
        </w:rPr>
        <w:t>coloured</w:t>
      </w:r>
      <w:proofErr w:type="spellEnd"/>
      <w:proofErr w:type="gram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7A57DE84"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distribution of </w:t>
      </w:r>
      <w:r w:rsidR="00125205">
        <w:rPr>
          <w:color w:val="C0504D" w:themeColor="accent2"/>
          <w:sz w:val="20"/>
          <w:szCs w:val="20"/>
        </w:rPr>
        <w:t xml:space="preserve">the differences in the </w:t>
      </w:r>
      <w:r w:rsidR="00FD32F6">
        <w:rPr>
          <w:color w:val="C0504D" w:themeColor="accent2"/>
          <w:sz w:val="20"/>
          <w:szCs w:val="20"/>
        </w:rPr>
        <w:t xml:space="preserve">parameter estimates </w:t>
      </w:r>
      <w:r w:rsidR="00125205">
        <w:rPr>
          <w:color w:val="C0504D" w:themeColor="accent2"/>
          <w:sz w:val="20"/>
          <w:szCs w:val="20"/>
        </w:rPr>
        <w:t>between</w:t>
      </w:r>
      <w:r w:rsidR="00FD32F6">
        <w:rPr>
          <w:color w:val="C0504D" w:themeColor="accent2"/>
          <w:sz w:val="20"/>
          <w:szCs w:val="20"/>
        </w:rPr>
        <w:t xml:space="preserve"> group</w:t>
      </w:r>
      <w:r w:rsidR="00125205">
        <w:rPr>
          <w:color w:val="C0504D" w:themeColor="accent2"/>
          <w:sz w:val="20"/>
          <w:szCs w:val="20"/>
        </w:rPr>
        <w:t>s</w:t>
      </w:r>
      <w:r w:rsidR="00FD32F6">
        <w:rPr>
          <w:color w:val="C0504D" w:themeColor="accent2"/>
          <w:sz w:val="20"/>
          <w:szCs w:val="20"/>
        </w:rPr>
        <w:t xml:space="preserve"> </w:t>
      </w:r>
      <w:r w:rsidR="00125205">
        <w:rPr>
          <w:color w:val="C0504D" w:themeColor="accent2"/>
          <w:sz w:val="20"/>
          <w:szCs w:val="20"/>
        </w:rPr>
        <w:t>are</w:t>
      </w:r>
      <w:r w:rsidR="00FD32F6">
        <w:rPr>
          <w:color w:val="C0504D" w:themeColor="accent2"/>
          <w:sz w:val="20"/>
          <w:szCs w:val="20"/>
        </w:rPr>
        <w:t xml:space="preserve"> reported</w:t>
      </w:r>
      <w:r w:rsidR="00125205">
        <w:rPr>
          <w:color w:val="C0504D" w:themeColor="accent2"/>
          <w:sz w:val="20"/>
          <w:szCs w:val="20"/>
        </w:rPr>
        <w:t xml:space="preserve"> in Table 1</w:t>
      </w:r>
      <w:r w:rsidR="00FD32F6">
        <w:rPr>
          <w:color w:val="C0504D" w:themeColor="accent2"/>
          <w:sz w:val="20"/>
          <w:szCs w:val="20"/>
        </w:rPr>
        <w:t xml:space="preserve"> </w:t>
      </w:r>
      <w:r w:rsidR="00125205">
        <w:rPr>
          <w:color w:val="C0504D" w:themeColor="accent2"/>
          <w:sz w:val="20"/>
          <w:szCs w:val="20"/>
        </w:rPr>
        <w:t xml:space="preserve">as </w:t>
      </w:r>
      <w:r w:rsidR="00FD32F6">
        <w:rPr>
          <w:color w:val="C0504D" w:themeColor="accent2"/>
          <w:sz w:val="20"/>
          <w:szCs w:val="20"/>
        </w:rPr>
        <w:t>95% HDPIs.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probability of standing at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95% HDPI for difference in distance from center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proofErr w:type="gramStart"/>
      <w:r w:rsidR="0021153B" w:rsidRPr="009F296E">
        <w:rPr>
          <w:i/>
          <w:iCs/>
          <w:color w:val="C0504D" w:themeColor="accent2"/>
          <w:sz w:val="20"/>
          <w:szCs w:val="20"/>
        </w:rPr>
        <w:t>report</w:t>
      </w:r>
      <w:proofErr w:type="gramEnd"/>
      <w:r w:rsidR="0021153B" w:rsidRPr="009F296E">
        <w:rPr>
          <w:i/>
          <w:iCs/>
          <w:color w:val="C0504D" w:themeColor="accent2"/>
          <w:sz w:val="20"/>
          <w:szCs w:val="20"/>
        </w:rPr>
        <w:t xml:space="preserve">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w:t>
      </w:r>
      <w:proofErr w:type="gramStart"/>
      <w:r w:rsidR="0021153B" w:rsidRPr="009F296E">
        <w:rPr>
          <w:i/>
          <w:iCs/>
          <w:color w:val="C0504D" w:themeColor="accent2"/>
          <w:sz w:val="20"/>
          <w:szCs w:val="20"/>
        </w:rPr>
        <w:t>optimally-performing</w:t>
      </w:r>
      <w:proofErr w:type="gramEnd"/>
      <w:r w:rsidR="0021153B" w:rsidRPr="009F296E">
        <w:rPr>
          <w:i/>
          <w:iCs/>
          <w:color w:val="C0504D" w:themeColor="accent2"/>
          <w:sz w:val="20"/>
          <w:szCs w:val="20"/>
        </w:rPr>
        <w:t xml:space="preserve">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w:t>
      </w:r>
      <w:proofErr w:type="gramStart"/>
      <w:r w:rsidR="003318CC">
        <w:rPr>
          <w:color w:val="C0504D" w:themeColor="accent2"/>
          <w:sz w:val="20"/>
          <w:szCs w:val="20"/>
        </w:rPr>
        <w:t>is</w:t>
      </w:r>
      <w:proofErr w:type="gramEnd"/>
      <w:r w:rsidR="003318CC">
        <w:rPr>
          <w:color w:val="C0504D" w:themeColor="accent2"/>
          <w:sz w:val="20"/>
          <w:szCs w:val="20"/>
        </w:rPr>
        <w:t xml:space="preserve">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Pr>
          <w:noProof/>
        </w:rPr>
        <w:fldChar w:fldCharType="begin"/>
      </w:r>
      <w:r>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Pr>
          <w:noProof/>
        </w:rP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4A26A9">
        <w:rPr>
          <w:noProof/>
        </w:rPr>
        <w:pict w14:anchorId="1AE38253">
          <v:shape id="_x0000_i1025" type="#_x0000_t75" alt="Image" style="width:467.7pt;height:167.8pt;mso-width-percent:0;mso-height-percent:0;mso-width-percent:0;mso-height-percent:0">
            <v:imagedata r:id="rId14" r:href="rId15"/>
          </v:shape>
        </w:pict>
      </w:r>
      <w:r w:rsidR="00000000">
        <w:rPr>
          <w:noProof/>
        </w:rPr>
        <w:fldChar w:fldCharType="end"/>
      </w:r>
      <w:r>
        <w:rPr>
          <w:noProof/>
        </w:rPr>
        <w:fldChar w:fldCharType="end"/>
      </w:r>
      <w:r>
        <w:rPr>
          <w:noProof/>
        </w:rPr>
        <w:fldChar w:fldCharType="end"/>
      </w:r>
      <w:r>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2524A369"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w:t>
      </w:r>
      <w:proofErr w:type="gramStart"/>
      <w:r w:rsidRPr="008665FC">
        <w:rPr>
          <w:color w:val="C0504D" w:themeColor="accent2"/>
          <w:sz w:val="20"/>
          <w:szCs w:val="20"/>
        </w:rPr>
        <w:t>both of these</w:t>
      </w:r>
      <w:proofErr w:type="gramEnd"/>
      <w:r w:rsidRPr="008665FC">
        <w:rPr>
          <w:color w:val="C0504D" w:themeColor="accent2"/>
          <w:sz w:val="20"/>
          <w:szCs w:val="20"/>
        </w:rPr>
        <w:t xml:space="preserve"> experiments indicate that none of these interventions were effective in shifting participants towards more optimal throwing decisions, in line with </w:t>
      </w:r>
      <w:r w:rsidR="002F6ABC" w:rsidRPr="008665FC">
        <w:rPr>
          <w:color w:val="C0504D" w:themeColor="accent2"/>
          <w:sz w:val="20"/>
          <w:szCs w:val="20"/>
        </w:rPr>
        <w:t xml:space="preserve">our </w:t>
      </w:r>
      <w:r w:rsidR="00966CDA">
        <w:rPr>
          <w:color w:val="C0504D" w:themeColor="accent2"/>
          <w:sz w:val="20"/>
          <w:szCs w:val="20"/>
        </w:rPr>
        <w:t xml:space="preserve">conclusion from </w:t>
      </w:r>
      <w:r w:rsidRPr="008665FC">
        <w:rPr>
          <w:color w:val="C0504D" w:themeColor="accent2"/>
          <w:sz w:val="20"/>
          <w:szCs w:val="20"/>
        </w:rPr>
        <w:t>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xml:space="preserve">, raising the general level of awareness for the </w:t>
      </w:r>
      <w:proofErr w:type="gramStart"/>
      <w:r w:rsidR="00183644" w:rsidRPr="008665FC">
        <w:rPr>
          <w:color w:val="C0504D" w:themeColor="accent2"/>
          <w:sz w:val="20"/>
          <w:szCs w:val="20"/>
        </w:rPr>
        <w:t>population as a whole</w:t>
      </w:r>
      <w:proofErr w:type="gramEnd"/>
      <w:r w:rsidR="00E10321" w:rsidRPr="008665FC">
        <w:rPr>
          <w:color w:val="C0504D" w:themeColor="accent2"/>
          <w:sz w:val="20"/>
          <w:szCs w:val="20"/>
        </w:rPr>
        <w:t xml:space="preserve">. </w:t>
      </w:r>
      <w:r w:rsidR="009F296E">
        <w:rPr>
          <w:color w:val="C0504D" w:themeColor="accent2"/>
          <w:sz w:val="20"/>
          <w:szCs w:val="20"/>
        </w:rPr>
        <w:t>As we can see from the experiment reported in Appendix</w:t>
      </w:r>
      <w:r w:rsidR="000F0486">
        <w:rPr>
          <w:color w:val="C0504D" w:themeColor="accent2"/>
          <w:sz w:val="20"/>
          <w:szCs w:val="20"/>
        </w:rPr>
        <w:t xml:space="preserve"> A</w:t>
      </w:r>
      <w:r w:rsidR="009F296E">
        <w:rPr>
          <w:color w:val="C0504D" w:themeColor="accent2"/>
          <w:sz w:val="20"/>
          <w:szCs w:val="20"/>
        </w:rPr>
        <w:t xml:space="preserve">, having explicit knowledge of the optimal strategy does enable participants to implement this strategy effectively.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602E422C"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w:t>
      </w:r>
      <w:r w:rsidR="002E26BA">
        <w:rPr>
          <w:sz w:val="20"/>
          <w:szCs w:val="20"/>
        </w:rPr>
        <w:t xml:space="preserve"> </w:t>
      </w:r>
      <w:r w:rsidR="002E26BA" w:rsidRPr="002E26BA">
        <w:rPr>
          <w:color w:val="C0504D" w:themeColor="accent2"/>
          <w:sz w:val="20"/>
          <w:szCs w:val="20"/>
        </w:rPr>
        <w:t>More generally</w:t>
      </w:r>
      <w:r w:rsidR="002E26BA">
        <w:rPr>
          <w:color w:val="C0504D" w:themeColor="accent2"/>
          <w:sz w:val="20"/>
          <w:szCs w:val="20"/>
        </w:rPr>
        <w:t>, it has long been known that learning and memory are context-specific (e.g. Carr, 1925),</w:t>
      </w:r>
      <w:r w:rsidR="00EA58F3">
        <w:rPr>
          <w:color w:val="C0504D" w:themeColor="accent2"/>
          <w:sz w:val="20"/>
          <w:szCs w:val="20"/>
        </w:rPr>
        <w:t xml:space="preserve"> a reasonable tendency considering the risk of overgeneralizing a</w:t>
      </w:r>
      <w:r w:rsidR="00421B8B">
        <w:rPr>
          <w:color w:val="C0504D" w:themeColor="accent2"/>
          <w:sz w:val="20"/>
          <w:szCs w:val="20"/>
        </w:rPr>
        <w:t xml:space="preserve"> learned</w:t>
      </w:r>
      <w:r w:rsidR="00EA58F3">
        <w:rPr>
          <w:color w:val="C0504D" w:themeColor="accent2"/>
          <w:sz w:val="20"/>
          <w:szCs w:val="20"/>
        </w:rPr>
        <w:t xml:space="preserve"> environmental contingency </w:t>
      </w:r>
      <w:r w:rsidR="00421B8B">
        <w:rPr>
          <w:color w:val="C0504D" w:themeColor="accent2"/>
          <w:sz w:val="20"/>
          <w:szCs w:val="20"/>
        </w:rPr>
        <w:t>beyond its limits.</w:t>
      </w:r>
      <w:r>
        <w:rPr>
          <w:sz w:val="20"/>
          <w:szCs w:val="20"/>
        </w:rPr>
        <w:t xml:space="preserve">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t>
      </w:r>
      <w:r w:rsidR="00EB3204">
        <w:rPr>
          <w:sz w:val="20"/>
          <w:szCs w:val="20"/>
        </w:rPr>
        <w:t>may have been</w:t>
      </w:r>
      <w:r>
        <w:rPr>
          <w:sz w:val="20"/>
          <w:szCs w:val="20"/>
        </w:rPr>
        <w:t xml:space="preserve"> too different for them to apply the same logic in the new situation, so they returned to solving the problem using variability. </w:t>
      </w:r>
    </w:p>
    <w:p w14:paraId="32D633FC" w14:textId="4138BF58"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Morvan &amp; Maloney (2012)</w:t>
      </w:r>
      <w:r w:rsidR="00322C62" w:rsidRPr="00671711">
        <w:rPr>
          <w:color w:val="C0504D" w:themeColor="accent2"/>
          <w:sz w:val="20"/>
          <w:szCs w:val="20"/>
        </w:rPr>
        <w:t xml:space="preserve">. As this variant of the dilemma is a </w:t>
      </w:r>
      <w:r w:rsidR="00EB3204" w:rsidRPr="00671711">
        <w:rPr>
          <w:color w:val="C0504D" w:themeColor="accent2"/>
          <w:sz w:val="20"/>
          <w:szCs w:val="20"/>
        </w:rPr>
        <w:t>computer-based</w:t>
      </w:r>
      <w:r w:rsidR="00322C62" w:rsidRPr="00671711">
        <w:rPr>
          <w:color w:val="C0504D" w:themeColor="accent2"/>
          <w:sz w:val="20"/>
          <w:szCs w:val="20"/>
        </w:rPr>
        <w:t xml:space="preserve"> task, each participant can easily complete hundreds of trials. It is also easier to </w:t>
      </w:r>
      <w:r w:rsidR="002175D7">
        <w:rPr>
          <w:color w:val="C0504D" w:themeColor="accent2"/>
          <w:sz w:val="20"/>
          <w:szCs w:val="20"/>
        </w:rPr>
        <w:t>instruct</w:t>
      </w:r>
      <w:r w:rsidR="00322C62" w:rsidRPr="00671711">
        <w:rPr>
          <w:color w:val="C0504D" w:themeColor="accent2"/>
          <w:sz w:val="20"/>
          <w:szCs w:val="20"/>
        </w:rPr>
        <w:t xml:space="preserv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w:t>
      </w:r>
      <w:r w:rsidR="002175D7">
        <w:rPr>
          <w:color w:val="C0504D" w:themeColor="accent2"/>
          <w:sz w:val="20"/>
          <w:szCs w:val="20"/>
        </w:rPr>
        <w:t xml:space="preserve"> Finally, with the larger number of trials and more limited set of three options to choose between, we thought participants might have a stronger chance of learning the optimal choices.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w:t>
      </w:r>
      <w:r>
        <w:rPr>
          <w:sz w:val="20"/>
          <w:szCs w:val="20"/>
        </w:rPr>
        <w:lastRenderedPageBreak/>
        <w:t xml:space="preserve">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623770D6" w:rsidR="00B54B24" w:rsidRDefault="00EB3204" w:rsidP="00B92266">
      <w:pPr>
        <w:spacing w:line="360" w:lineRule="auto"/>
        <w:rPr>
          <w:sz w:val="20"/>
          <w:szCs w:val="20"/>
        </w:rPr>
      </w:pPr>
      <w:r>
        <w:rPr>
          <w:sz w:val="20"/>
          <w:szCs w:val="20"/>
        </w:rPr>
        <w:t>T</w:t>
      </w:r>
      <w:r w:rsidR="00FB4B01">
        <w:rPr>
          <w:sz w:val="20"/>
          <w:szCs w:val="20"/>
        </w:rPr>
        <w:t xml:space="preserve">here is evidence that solutions to insight problems can be provoked by guiding the eyes to relevant locations (Grant and Spivey, 2003) or in a pattern that is consistent with the solution (Thomas and Lleras, 2008). This suggests a pattern of </w:t>
      </w:r>
      <w:proofErr w:type="spellStart"/>
      <w:r w:rsidR="00FB4B01">
        <w:rPr>
          <w:sz w:val="20"/>
          <w:szCs w:val="20"/>
        </w:rPr>
        <w:t>behaviour</w:t>
      </w:r>
      <w:proofErr w:type="spellEnd"/>
      <w:r w:rsidR="00FB4B01">
        <w:rPr>
          <w:sz w:val="20"/>
          <w:szCs w:val="20"/>
        </w:rPr>
        <w:t xml:space="preserve"> can lead participants to restructure information in a way that is consistent with that </w:t>
      </w:r>
      <w:proofErr w:type="spellStart"/>
      <w:r w:rsidR="00FB4B01">
        <w:rPr>
          <w:sz w:val="20"/>
          <w:szCs w:val="20"/>
        </w:rPr>
        <w:t>behaviour</w:t>
      </w:r>
      <w:proofErr w:type="spellEnd"/>
      <w:r w:rsidR="00FB4B01">
        <w:rPr>
          <w:sz w:val="20"/>
          <w:szCs w:val="20"/>
        </w:rPr>
        <w:t>.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w:t>
      </w:r>
      <w:r>
        <w:rPr>
          <w:sz w:val="20"/>
          <w:szCs w:val="20"/>
        </w:rPr>
        <w:t xml:space="preserve"> </w:t>
      </w:r>
      <w:r w:rsidR="00FB4B01">
        <w:rPr>
          <w:sz w:val="20"/>
          <w:szCs w:val="20"/>
        </w:rPr>
        <w:t xml:space="preserve">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sidR="00FB4B01">
        <w:rPr>
          <w:sz w:val="20"/>
          <w:szCs w:val="20"/>
        </w:rPr>
        <w:t>behaviour</w:t>
      </w:r>
      <w:proofErr w:type="spellEnd"/>
      <w:r w:rsidR="00FB4B01">
        <w:rPr>
          <w:sz w:val="20"/>
          <w:szCs w:val="20"/>
        </w:rPr>
        <w:t xml:space="preserve"> may, or may not, be accompanied by a more abstract insight about the optimal strategy.</w:t>
      </w:r>
      <w:r w:rsidR="00A96520">
        <w:rPr>
          <w:sz w:val="20"/>
          <w:szCs w:val="20"/>
        </w:rPr>
        <w:t xml:space="preserve"> </w:t>
      </w:r>
      <w:r w:rsidR="002175D7">
        <w:rPr>
          <w:sz w:val="20"/>
          <w:szCs w:val="20"/>
        </w:rPr>
        <w:t>T</w:t>
      </w:r>
      <w:r w:rsidR="00FB4B01">
        <w:rPr>
          <w:sz w:val="20"/>
          <w:szCs w:val="20"/>
        </w:rPr>
        <w:t xml:space="preserve">his experiment’s methods and analysis plan were pre-registered on the Open Science Framework </w:t>
      </w:r>
      <w:hyperlink r:id="rId16">
        <w:r w:rsidR="00FB4B01">
          <w:rPr>
            <w:color w:val="1155CC"/>
            <w:sz w:val="20"/>
            <w:szCs w:val="20"/>
            <w:u w:val="single"/>
          </w:rPr>
          <w:t>https://osf.io/yan5k/</w:t>
        </w:r>
      </w:hyperlink>
      <w:r w:rsidR="00FB4B01">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 xml:space="preserve">The stimuli and equipment were </w:t>
      </w:r>
      <w:proofErr w:type="gramStart"/>
      <w:r>
        <w:rPr>
          <w:sz w:val="20"/>
          <w:szCs w:val="20"/>
        </w:rPr>
        <w:t>similar to</w:t>
      </w:r>
      <w:proofErr w:type="gramEnd"/>
      <w:r>
        <w:rPr>
          <w:sz w:val="20"/>
          <w:szCs w:val="20"/>
        </w:rPr>
        <w:t xml:space="preserve">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Pelli,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w:t>
      </w:r>
      <w:proofErr w:type="gramStart"/>
      <w:r>
        <w:rPr>
          <w:sz w:val="20"/>
          <w:szCs w:val="20"/>
        </w:rPr>
        <w:t>dimly-lit</w:t>
      </w:r>
      <w:proofErr w:type="gramEnd"/>
      <w:r>
        <w:rPr>
          <w:sz w:val="20"/>
          <w:szCs w:val="20"/>
        </w:rPr>
        <w:t xml:space="preserve">,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531D316A" w:rsidR="00B54B24" w:rsidRPr="00421B8B" w:rsidRDefault="00FB4B01" w:rsidP="00B92266">
      <w:pPr>
        <w:spacing w:after="160" w:line="360" w:lineRule="auto"/>
        <w:rPr>
          <w:color w:val="C0504D" w:themeColor="accent2"/>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r w:rsidR="00421B8B">
        <w:rPr>
          <w:sz w:val="20"/>
          <w:szCs w:val="20"/>
        </w:rPr>
        <w:t xml:space="preserve"> </w:t>
      </w:r>
      <w:r w:rsidR="00421B8B">
        <w:rPr>
          <w:color w:val="C0504D" w:themeColor="accent2"/>
          <w:sz w:val="20"/>
          <w:szCs w:val="20"/>
        </w:rPr>
        <w:t xml:space="preserve">The purpose of this phase was to fit a logistic regression line to </w:t>
      </w:r>
      <w:proofErr w:type="gramStart"/>
      <w:r w:rsidR="00421B8B">
        <w:rPr>
          <w:color w:val="C0504D" w:themeColor="accent2"/>
          <w:sz w:val="20"/>
          <w:szCs w:val="20"/>
        </w:rPr>
        <w:t>each individual’s</w:t>
      </w:r>
      <w:proofErr w:type="gramEnd"/>
      <w:r w:rsidR="00421B8B">
        <w:rPr>
          <w:color w:val="C0504D" w:themeColor="accent2"/>
          <w:sz w:val="20"/>
          <w:szCs w:val="20"/>
        </w:rPr>
        <w:t xml:space="preserve"> acuity over distance, to estimate the distance from fixation at which each person’s accuracy falls below 75%. </w:t>
      </w:r>
      <w:r w:rsidR="00421B8B">
        <w:rPr>
          <w:color w:val="C0504D" w:themeColor="accent2"/>
          <w:sz w:val="20"/>
          <w:szCs w:val="20"/>
        </w:rPr>
        <w:lastRenderedPageBreak/>
        <w:t>This distance is the switch point (E</w:t>
      </w:r>
      <w:r w:rsidR="00421B8B" w:rsidRPr="00421B8B">
        <w:rPr>
          <w:color w:val="C0504D" w:themeColor="accent2"/>
          <w:sz w:val="20"/>
          <w:szCs w:val="20"/>
          <w:vertAlign w:val="subscript"/>
        </w:rPr>
        <w:t>0</w:t>
      </w:r>
      <w:r w:rsidR="00421B8B">
        <w:rPr>
          <w:color w:val="C0504D" w:themeColor="accent2"/>
          <w:sz w:val="20"/>
          <w:szCs w:val="20"/>
        </w:rPr>
        <w:t>)</w:t>
      </w:r>
      <w:r w:rsidR="00235977">
        <w:rPr>
          <w:color w:val="C0504D" w:themeColor="accent2"/>
          <w:sz w:val="20"/>
          <w:szCs w:val="20"/>
        </w:rPr>
        <w:t>.</w:t>
      </w:r>
      <w:r w:rsidR="00421B8B">
        <w:rPr>
          <w:color w:val="C0504D" w:themeColor="accent2"/>
          <w:sz w:val="20"/>
          <w:szCs w:val="20"/>
        </w:rPr>
        <w:t xml:space="preserve"> </w:t>
      </w:r>
      <w:r w:rsidR="00235977">
        <w:rPr>
          <w:color w:val="C0504D" w:themeColor="accent2"/>
          <w:sz w:val="20"/>
          <w:szCs w:val="20"/>
        </w:rPr>
        <w:t>We use this in the decision phase, as described below, to set the</w:t>
      </w:r>
      <w:r w:rsidR="00421B8B">
        <w:rPr>
          <w:color w:val="C0504D" w:themeColor="accent2"/>
          <w:sz w:val="20"/>
          <w:szCs w:val="20"/>
        </w:rPr>
        <w:t xml:space="preserve"> locations of boxes </w:t>
      </w:r>
      <w:r w:rsidR="00235977">
        <w:rPr>
          <w:color w:val="C0504D" w:themeColor="accent2"/>
          <w:sz w:val="20"/>
          <w:szCs w:val="20"/>
        </w:rPr>
        <w:t>for each participant relative to their own E</w:t>
      </w:r>
      <w:r w:rsidR="00235977" w:rsidRPr="00421B8B">
        <w:rPr>
          <w:color w:val="C0504D" w:themeColor="accent2"/>
          <w:sz w:val="20"/>
          <w:szCs w:val="20"/>
          <w:vertAlign w:val="subscript"/>
        </w:rPr>
        <w:t>0</w:t>
      </w:r>
      <w:r w:rsidR="00235977">
        <w:rPr>
          <w:color w:val="C0504D" w:themeColor="accent2"/>
          <w:sz w:val="20"/>
          <w:szCs w:val="20"/>
        </w:rPr>
        <w:t xml:space="preserve">. </w:t>
      </w:r>
    </w:p>
    <w:p w14:paraId="43E85424" w14:textId="602170A0"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w:t>
      </w:r>
      <w:proofErr w:type="gramStart"/>
      <w:r>
        <w:rPr>
          <w:sz w:val="20"/>
          <w:szCs w:val="20"/>
        </w:rPr>
        <w:t>similar to</w:t>
      </w:r>
      <w:proofErr w:type="gramEnd"/>
      <w:r>
        <w:rPr>
          <w:sz w:val="20"/>
          <w:szCs w:val="20"/>
        </w:rPr>
        <w:t xml:space="preserve">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50B2705B" w14:textId="77777777" w:rsidR="0002161A"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 xml:space="preserve">this </w:t>
      </w:r>
      <w:r w:rsidR="00DD0D0B">
        <w:rPr>
          <w:color w:val="C0504D" w:themeColor="accent2"/>
          <w:sz w:val="20"/>
          <w:szCs w:val="20"/>
        </w:rPr>
        <w:lastRenderedPageBreak/>
        <w:t>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w:t>
      </w:r>
      <w:r w:rsidR="0002161A">
        <w:rPr>
          <w:color w:val="C0504D" w:themeColor="accent2"/>
          <w:sz w:val="20"/>
          <w:szCs w:val="20"/>
        </w:rPr>
        <w:t>we</w:t>
      </w:r>
      <w:r w:rsidRPr="00DD0D0B">
        <w:rPr>
          <w:color w:val="C0504D" w:themeColor="accent2"/>
          <w:sz w:val="20"/>
          <w:szCs w:val="20"/>
        </w:rPr>
        <w:t xml:space="preserve"> us</w:t>
      </w:r>
      <w:r w:rsidR="0002161A">
        <w:rPr>
          <w:color w:val="C0504D" w:themeColor="accent2"/>
          <w:sz w:val="20"/>
          <w:szCs w:val="20"/>
        </w:rPr>
        <w:t>e</w:t>
      </w:r>
      <w:r w:rsidRPr="00DD0D0B">
        <w:rPr>
          <w:color w:val="C0504D" w:themeColor="accent2"/>
          <w:sz w:val="20"/>
          <w:szCs w:val="20"/>
        </w:rPr>
        <w:t xml:space="preserve">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p>
    <w:p w14:paraId="47AF4C9A" w14:textId="231E3187" w:rsidR="00CE016A" w:rsidRPr="00DD0D0B" w:rsidRDefault="00B411D8" w:rsidP="00B92266">
      <w:pPr>
        <w:spacing w:after="160" w:line="360" w:lineRule="auto"/>
        <w:rPr>
          <w:color w:val="C0504D" w:themeColor="accent2"/>
          <w:sz w:val="20"/>
          <w:szCs w:val="20"/>
        </w:rPr>
      </w:pPr>
      <w:r>
        <w:rPr>
          <w:color w:val="C0504D" w:themeColor="accent2"/>
          <w:sz w:val="20"/>
          <w:szCs w:val="20"/>
        </w:rPr>
        <w:t xml:space="preserve">The analysis we report deviates from the pre-registered analysis, which specified using one-sided t-tests to compare the deviation of accuracy from optimal accuracy between the two groups. We adopted a Bayesian analysis instead </w:t>
      </w:r>
      <w:r w:rsidR="0002161A">
        <w:rPr>
          <w:color w:val="C0504D" w:themeColor="accent2"/>
          <w:sz w:val="20"/>
          <w:szCs w:val="20"/>
        </w:rPr>
        <w:t>to</w:t>
      </w:r>
      <w:r>
        <w:rPr>
          <w:color w:val="C0504D" w:themeColor="accent2"/>
          <w:sz w:val="20"/>
          <w:szCs w:val="20"/>
        </w:rPr>
        <w:t xml:space="preserve"> align with the analysis in Experiment 1</w:t>
      </w:r>
      <w:r w:rsidR="0002161A">
        <w:rPr>
          <w:color w:val="C0504D" w:themeColor="accent2"/>
          <w:sz w:val="20"/>
          <w:szCs w:val="20"/>
        </w:rPr>
        <w:t>,</w:t>
      </w:r>
      <w:r>
        <w:rPr>
          <w:color w:val="C0504D" w:themeColor="accent2"/>
          <w:sz w:val="20"/>
          <w:szCs w:val="20"/>
        </w:rPr>
        <w:t xml:space="preserve"> and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Pr>
          <w:color w:val="C0504D" w:themeColor="accent2"/>
          <w:sz w:val="20"/>
          <w:szCs w:val="20"/>
        </w:rPr>
        <w:t xml:space="preserve">conclusions </w:t>
      </w:r>
      <w:r w:rsidR="00DB01C5">
        <w:rPr>
          <w:color w:val="C0504D" w:themeColor="accent2"/>
          <w:sz w:val="20"/>
          <w:szCs w:val="20"/>
        </w:rPr>
        <w:t xml:space="preserve">one would </w:t>
      </w:r>
      <w:r>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Pr>
          <w:color w:val="C0504D" w:themeColor="accent2"/>
          <w:sz w:val="20"/>
          <w:szCs w:val="20"/>
        </w:rPr>
        <w:t xml:space="preserve">, and we have reported the t-tests in </w:t>
      </w:r>
      <w:r w:rsidR="004C2C56">
        <w:rPr>
          <w:color w:val="C0504D" w:themeColor="accent2"/>
          <w:sz w:val="20"/>
          <w:szCs w:val="20"/>
        </w:rPr>
        <w:t xml:space="preserve">the Appendix </w:t>
      </w:r>
      <w:r>
        <w:rPr>
          <w:color w:val="C0504D" w:themeColor="accent2"/>
          <w:sz w:val="20"/>
          <w:szCs w:val="20"/>
        </w:rPr>
        <w:t>f</w:t>
      </w:r>
      <w:r w:rsidR="004C2C56">
        <w:rPr>
          <w:color w:val="C0504D" w:themeColor="accent2"/>
          <w:sz w:val="20"/>
          <w:szCs w:val="20"/>
        </w:rPr>
        <w:t>or</w:t>
      </w:r>
      <w:r>
        <w:rPr>
          <w:color w:val="C0504D" w:themeColor="accent2"/>
          <w:sz w:val="20"/>
          <w:szCs w:val="20"/>
        </w:rPr>
        <w:t xml:space="preserve"> transparency.</w:t>
      </w:r>
    </w:p>
    <w:p w14:paraId="5AAEBFF7" w14:textId="58A517A9" w:rsidR="00747DAF" w:rsidRDefault="00FB4B01" w:rsidP="001C2753">
      <w:pPr>
        <w:spacing w:after="160" w:line="360" w:lineRule="auto"/>
        <w:jc w:val="center"/>
        <w:rPr>
          <w:b/>
          <w:sz w:val="24"/>
          <w:szCs w:val="24"/>
        </w:rPr>
      </w:pPr>
      <w:bookmarkStart w:id="5" w:name="_Hlk140589975"/>
      <w:r>
        <w:rPr>
          <w:b/>
          <w:sz w:val="24"/>
          <w:szCs w:val="24"/>
        </w:rPr>
        <w:t>Results</w:t>
      </w:r>
    </w:p>
    <w:bookmarkEnd w:id="5"/>
    <w:p w14:paraId="7FC66AE9" w14:textId="16AA3337"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w:t>
      </w:r>
      <w:r w:rsidR="00966CDA">
        <w:rPr>
          <w:color w:val="C0504D" w:themeColor="accent2"/>
          <w:sz w:val="20"/>
          <w:szCs w:val="20"/>
        </w:rPr>
        <w:t>In</w:t>
      </w:r>
      <w:r w:rsidR="0037174D" w:rsidRPr="00263061">
        <w:rPr>
          <w:color w:val="C0504D" w:themeColor="accent2"/>
          <w:sz w:val="20"/>
          <w:szCs w:val="20"/>
        </w:rPr>
        <w:t xml:space="preserve">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half the participants were cued to the correct location</w:t>
      </w:r>
      <w:r w:rsidR="00966CDA">
        <w:rPr>
          <w:color w:val="C0504D" w:themeColor="accent2"/>
          <w:sz w:val="20"/>
          <w:szCs w:val="20"/>
        </w:rPr>
        <w:t xml:space="preserve"> (the instruction condition)</w:t>
      </w:r>
      <w:r w:rsidR="00E1625C">
        <w:rPr>
          <w:color w:val="C0504D" w:themeColor="accent2"/>
          <w:sz w:val="20"/>
          <w:szCs w:val="20"/>
        </w:rPr>
        <w:t>,</w:t>
      </w:r>
      <w:r w:rsidR="00966CDA">
        <w:rPr>
          <w:color w:val="C0504D" w:themeColor="accent2"/>
          <w:sz w:val="20"/>
          <w:szCs w:val="20"/>
        </w:rPr>
        <w:t xml:space="preserve"> and</w:t>
      </w:r>
      <w:r w:rsidR="0037174D" w:rsidRPr="00263061">
        <w:rPr>
          <w:color w:val="C0504D" w:themeColor="accent2"/>
          <w:sz w:val="20"/>
          <w:szCs w:val="20"/>
        </w:rPr>
        <w:t xml:space="preserve"> </w:t>
      </w:r>
      <w:proofErr w:type="gramStart"/>
      <w:r w:rsidR="00263061">
        <w:rPr>
          <w:color w:val="C0504D" w:themeColor="accent2"/>
          <w:sz w:val="20"/>
          <w:szCs w:val="20"/>
        </w:rPr>
        <w:t>it is clear</w:t>
      </w:r>
      <w:r w:rsidR="0037174D" w:rsidRPr="00263061">
        <w:rPr>
          <w:color w:val="C0504D" w:themeColor="accent2"/>
          <w:sz w:val="20"/>
          <w:szCs w:val="20"/>
        </w:rPr>
        <w:t xml:space="preserve"> that all</w:t>
      </w:r>
      <w:proofErr w:type="gramEnd"/>
      <w:r w:rsidR="0037174D" w:rsidRPr="00263061">
        <w:rPr>
          <w:color w:val="C0504D" w:themeColor="accent2"/>
          <w:sz w:val="20"/>
          <w:szCs w:val="20"/>
        </w:rPr>
        <w:t xml:space="preserve">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w:t>
      </w:r>
      <w:r w:rsidR="00966CDA">
        <w:rPr>
          <w:color w:val="C0504D" w:themeColor="accent2"/>
          <w:sz w:val="20"/>
          <w:szCs w:val="20"/>
        </w:rPr>
        <w:t xml:space="preserve">as can be seen in </w:t>
      </w:r>
      <w:r w:rsidR="00E1625C">
        <w:rPr>
          <w:color w:val="C0504D" w:themeColor="accent2"/>
          <w:sz w:val="20"/>
          <w:szCs w:val="20"/>
        </w:rPr>
        <w:t>the red lines)</w:t>
      </w:r>
      <w:r w:rsidR="0037174D" w:rsidRPr="00263061">
        <w:rPr>
          <w:color w:val="C0504D" w:themeColor="accent2"/>
          <w:sz w:val="20"/>
          <w:szCs w:val="20"/>
        </w:rPr>
        <w:t xml:space="preserve">. Furthermore, the estimate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w:t>
      </w:r>
      <w:r w:rsidR="001818FD" w:rsidRPr="00263061">
        <w:rPr>
          <w:color w:val="C0504D" w:themeColor="accent2"/>
          <w:sz w:val="20"/>
          <w:szCs w:val="20"/>
        </w:rPr>
        <w:t xml:space="preserve"> </w:t>
      </w:r>
      <w:proofErr w:type="gramStart"/>
      <w:r w:rsidR="00384408">
        <w:rPr>
          <w:color w:val="C0504D" w:themeColor="accent2"/>
          <w:sz w:val="20"/>
          <w:szCs w:val="20"/>
        </w:rPr>
        <w:t>As a consequence</w:t>
      </w:r>
      <w:proofErr w:type="gramEnd"/>
      <w:r w:rsidR="00384408">
        <w:rPr>
          <w:color w:val="C0504D" w:themeColor="accent2"/>
          <w:sz w:val="20"/>
          <w:szCs w:val="20"/>
        </w:rPr>
        <w:t xml:space="preserv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3D459AA5"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lock 2</w:t>
      </w:r>
      <w:r w:rsidR="0002161A">
        <w:rPr>
          <w:color w:val="C0504D" w:themeColor="accent2"/>
          <w:sz w:val="20"/>
          <w:szCs w:val="20"/>
        </w:rPr>
        <w:t xml:space="preserve"> (Figure 5)</w:t>
      </w:r>
      <w:r>
        <w:rPr>
          <w:color w:val="C0504D" w:themeColor="accent2"/>
          <w:sz w:val="20"/>
          <w:szCs w:val="20"/>
        </w:rPr>
        <w:t xml:space="preserve">,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there is no evidence that the participant</w:t>
      </w:r>
      <w:r w:rsidR="0002161A">
        <w:rPr>
          <w:color w:val="C0504D" w:themeColor="accent2"/>
          <w:sz w:val="20"/>
          <w:szCs w:val="20"/>
        </w:rPr>
        <w:t>s</w:t>
      </w:r>
      <w:r w:rsidRPr="00263061">
        <w:rPr>
          <w:color w:val="C0504D" w:themeColor="accent2"/>
          <w:sz w:val="20"/>
          <w:szCs w:val="20"/>
        </w:rPr>
        <w:t xml:space="preserve">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w:t>
      </w:r>
      <w:r w:rsidR="0002161A">
        <w:rPr>
          <w:color w:val="C0504D" w:themeColor="accent2"/>
          <w:sz w:val="20"/>
          <w:szCs w:val="20"/>
        </w:rPr>
        <w:t xml:space="preserve">for the effect of target separation </w:t>
      </w:r>
      <w:r w:rsidR="0049683C" w:rsidRPr="00263061">
        <w:rPr>
          <w:color w:val="C0504D" w:themeColor="accent2"/>
          <w:sz w:val="20"/>
          <w:szCs w:val="20"/>
        </w:rPr>
        <w:t xml:space="preserve">as shown in Figure 5 </w:t>
      </w:r>
      <w:r w:rsidR="0049683C" w:rsidRPr="00330D75">
        <w:rPr>
          <w:color w:val="C0504D" w:themeColor="accent2"/>
          <w:sz w:val="20"/>
          <w:szCs w:val="20"/>
        </w:rPr>
        <w:t>(</w:t>
      </w:r>
      <w:r w:rsidR="00330D75" w:rsidRPr="00330D75">
        <w:rPr>
          <w:color w:val="C0504D" w:themeColor="accent2"/>
          <w:sz w:val="20"/>
          <w:szCs w:val="20"/>
        </w:rPr>
        <w:t>third plot</w:t>
      </w:r>
      <w:r w:rsidR="0049683C" w:rsidRPr="00330D75">
        <w:rPr>
          <w:color w:val="C0504D" w:themeColor="accent2"/>
          <w:sz w:val="20"/>
          <w:szCs w:val="20"/>
        </w:rPr>
        <w:t>).</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 xml:space="preserve">overall effect of box separation on fixation choices in Block 2, and no </w:t>
      </w:r>
      <w:proofErr w:type="gramStart"/>
      <w:r w:rsidR="00C87BC2">
        <w:rPr>
          <w:color w:val="C0504D" w:themeColor="accent2"/>
          <w:sz w:val="20"/>
          <w:szCs w:val="20"/>
        </w:rPr>
        <w:t>particular increase</w:t>
      </w:r>
      <w:proofErr w:type="gramEnd"/>
      <w:r w:rsidR="00C87BC2">
        <w:rPr>
          <w:color w:val="C0504D" w:themeColor="accent2"/>
          <w:sz w:val="20"/>
          <w:szCs w:val="20"/>
        </w:rPr>
        <w:t xml:space="preserv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09540F66"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 xml:space="preserve">lines provide a summary of the data: each line represents a different participant and indicates the proportion of time they fixated the central square for different separation distances. </w:t>
      </w:r>
      <w:r w:rsidR="00966CDA">
        <w:rPr>
          <w:rFonts w:ascii="Nunito" w:eastAsia="Nunito" w:hAnsi="Nunito" w:cs="Nunito"/>
          <w:color w:val="C0504D" w:themeColor="accent2"/>
          <w:sz w:val="20"/>
          <w:szCs w:val="20"/>
        </w:rPr>
        <w:t>T</w:t>
      </w:r>
      <w:r w:rsidR="00966CDA" w:rsidRPr="00962B33">
        <w:rPr>
          <w:rFonts w:ascii="Nunito" w:eastAsia="Nunito" w:hAnsi="Nunito" w:cs="Nunito"/>
          <w:color w:val="C0504D" w:themeColor="accent2"/>
          <w:sz w:val="20"/>
          <w:szCs w:val="20"/>
        </w:rPr>
        <w:t xml:space="preserve">he </w:t>
      </w:r>
      <w:proofErr w:type="spellStart"/>
      <w:r w:rsidR="00966CDA" w:rsidRPr="00962B33">
        <w:rPr>
          <w:rFonts w:ascii="Nunito" w:eastAsia="Nunito" w:hAnsi="Nunito" w:cs="Nunito"/>
          <w:color w:val="C0504D" w:themeColor="accent2"/>
          <w:sz w:val="20"/>
          <w:szCs w:val="20"/>
        </w:rPr>
        <w:t>coloured</w:t>
      </w:r>
      <w:proofErr w:type="spellEnd"/>
      <w:r w:rsidR="00966CDA" w:rsidRPr="00962B33">
        <w:rPr>
          <w:rFonts w:ascii="Nunito" w:eastAsia="Nunito" w:hAnsi="Nunito" w:cs="Nunito"/>
          <w:color w:val="C0504D" w:themeColor="accent2"/>
          <w:sz w:val="20"/>
          <w:szCs w:val="20"/>
        </w:rPr>
        <w:t xml:space="preserve"> ribbons indicate the 90% HPDI for the fixed effect component of our </w:t>
      </w:r>
      <w:proofErr w:type="spellStart"/>
      <w:r w:rsidR="00966CDA" w:rsidRPr="00962B33">
        <w:rPr>
          <w:rFonts w:ascii="Nunito" w:eastAsia="Nunito" w:hAnsi="Nunito" w:cs="Nunito"/>
          <w:color w:val="C0504D" w:themeColor="accent2"/>
          <w:sz w:val="20"/>
          <w:szCs w:val="20"/>
        </w:rPr>
        <w:t>generalised</w:t>
      </w:r>
      <w:proofErr w:type="spellEnd"/>
      <w:r w:rsidR="00966CDA" w:rsidRPr="00962B33">
        <w:rPr>
          <w:rFonts w:ascii="Nunito" w:eastAsia="Nunito" w:hAnsi="Nunito" w:cs="Nunito"/>
          <w:color w:val="C0504D" w:themeColor="accent2"/>
          <w:sz w:val="20"/>
          <w:szCs w:val="20"/>
        </w:rPr>
        <w:t xml:space="preserve"> linear model. </w:t>
      </w:r>
      <w:r w:rsidR="0037174D" w:rsidRPr="00962B33">
        <w:rPr>
          <w:rFonts w:ascii="Nunito" w:eastAsia="Nunito" w:hAnsi="Nunito" w:cs="Nunito"/>
          <w:color w:val="C0504D" w:themeColor="accent2"/>
          <w:sz w:val="20"/>
          <w:szCs w:val="20"/>
        </w:rPr>
        <w:t>Note that in block 1, the</w:t>
      </w:r>
      <w:r w:rsidR="00966CDA">
        <w:rPr>
          <w:rFonts w:ascii="Nunito" w:eastAsia="Nunito" w:hAnsi="Nunito" w:cs="Nunito"/>
          <w:color w:val="C0504D" w:themeColor="accent2"/>
          <w:sz w:val="20"/>
          <w:szCs w:val="20"/>
        </w:rPr>
        <w:t>re is a red (instruction condition) ribbon in this plot, but the</w:t>
      </w:r>
      <w:r w:rsidR="0037174D" w:rsidRPr="00962B33">
        <w:rPr>
          <w:rFonts w:ascii="Nunito" w:eastAsia="Nunito" w:hAnsi="Nunito" w:cs="Nunito"/>
          <w:color w:val="C0504D" w:themeColor="accent2"/>
          <w:sz w:val="20"/>
          <w:szCs w:val="20"/>
        </w:rPr>
        <w:t xml:space="preserve"> model estimate is very </w:t>
      </w:r>
      <w:r w:rsidR="00966CDA">
        <w:rPr>
          <w:rFonts w:ascii="Nunito" w:eastAsia="Nunito" w:hAnsi="Nunito" w:cs="Nunito"/>
          <w:color w:val="C0504D" w:themeColor="accent2"/>
          <w:sz w:val="20"/>
          <w:szCs w:val="20"/>
        </w:rPr>
        <w:t>certain (</w:t>
      </w:r>
      <w:r w:rsidR="0037174D" w:rsidRPr="00962B33">
        <w:rPr>
          <w:rFonts w:ascii="Nunito" w:eastAsia="Nunito" w:hAnsi="Nunito" w:cs="Nunito"/>
          <w:color w:val="C0504D" w:themeColor="accent2"/>
          <w:sz w:val="20"/>
          <w:szCs w:val="20"/>
        </w:rPr>
        <w:t>narrow</w:t>
      </w:r>
      <w:r w:rsidR="00966CDA">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966CDA">
        <w:rPr>
          <w:rFonts w:ascii="Nunito" w:eastAsia="Nunito" w:hAnsi="Nunito" w:cs="Nunito"/>
          <w:color w:val="C0504D" w:themeColor="accent2"/>
          <w:sz w:val="20"/>
          <w:szCs w:val="20"/>
        </w:rPr>
        <w:t>making it</w:t>
      </w:r>
      <w:r w:rsidR="0037174D" w:rsidRPr="00962B33">
        <w:rPr>
          <w:rFonts w:ascii="Nunito" w:eastAsia="Nunito" w:hAnsi="Nunito" w:cs="Nunito"/>
          <w:color w:val="C0504D" w:themeColor="accent2"/>
          <w:sz w:val="20"/>
          <w:szCs w:val="20"/>
        </w:rPr>
        <w:t xml:space="preserve">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w:t>
      </w:r>
      <w:proofErr w:type="gramStart"/>
      <w:r>
        <w:rPr>
          <w:sz w:val="20"/>
          <w:szCs w:val="20"/>
        </w:rPr>
        <w:t>the majority of</w:t>
      </w:r>
      <w:proofErr w:type="gramEnd"/>
      <w:r>
        <w:rPr>
          <w:sz w:val="20"/>
          <w:szCs w:val="20"/>
        </w:rPr>
        <w:t xml:space="preserve">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(Shors and Dryver,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w:t>
      </w:r>
      <w:r>
        <w:rPr>
          <w:sz w:val="20"/>
          <w:szCs w:val="20"/>
        </w:rPr>
        <w:lastRenderedPageBreak/>
        <w:t xml:space="preserve">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DeWit, Kindt,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(Alibali, Spencer, Knox and Kita, 2011</w:t>
      </w:r>
      <w:r w:rsidR="00440928">
        <w:rPr>
          <w:sz w:val="20"/>
          <w:szCs w:val="20"/>
        </w:rPr>
        <w:t xml:space="preserve">; </w:t>
      </w:r>
      <w:r w:rsidR="007A586E">
        <w:rPr>
          <w:sz w:val="20"/>
          <w:szCs w:val="20"/>
        </w:rPr>
        <w:t xml:space="preserve">Grant and Spivey, 2003; </w:t>
      </w:r>
      <w:r w:rsidR="00440928">
        <w:rPr>
          <w:sz w:val="20"/>
          <w:szCs w:val="20"/>
        </w:rPr>
        <w:t>Thomas and Lleras,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Gick and Holyoak (1983) coined to describe the idea that participants might be able to extract a general schema for solving problems from a specific concrete instance of that </w:t>
      </w:r>
      <w:proofErr w:type="gramStart"/>
      <w:r w:rsidR="00D83361">
        <w:rPr>
          <w:color w:val="E36C0A" w:themeColor="accent6" w:themeShade="BF"/>
          <w:sz w:val="20"/>
          <w:szCs w:val="20"/>
        </w:rPr>
        <w:t>problem, and</w:t>
      </w:r>
      <w:proofErr w:type="gramEnd"/>
      <w:r w:rsidR="00D83361">
        <w:rPr>
          <w:color w:val="E36C0A" w:themeColor="accent6" w:themeShade="BF"/>
          <w:sz w:val="20"/>
          <w:szCs w:val="20"/>
        </w:rPr>
        <w:t xml:space="preserve">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w:t>
      </w:r>
      <w:r>
        <w:rPr>
          <w:sz w:val="20"/>
          <w:szCs w:val="20"/>
        </w:rPr>
        <w:lastRenderedPageBreak/>
        <w:t xml:space="preserve">For example, we move our eyes around three times each second, and each of these movements can be thought of as a choice -- a resolution to a mini-problem of where the most useful and interesting visual information is coming from </w:t>
      </w:r>
      <w:proofErr w:type="gramStart"/>
      <w:r>
        <w:rPr>
          <w:sz w:val="20"/>
          <w:szCs w:val="20"/>
        </w:rPr>
        <w:t>at the moment</w:t>
      </w:r>
      <w:proofErr w:type="gramEnd"/>
      <w:r>
        <w:rPr>
          <w:sz w:val="20"/>
          <w:szCs w:val="20"/>
        </w:rPr>
        <w: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Chantler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w:t>
      </w:r>
      <w:r>
        <w:rPr>
          <w:sz w:val="20"/>
          <w:szCs w:val="20"/>
        </w:rPr>
        <w:lastRenderedPageBreak/>
        <w:t xml:space="preserve">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w:t>
      </w:r>
      <w:proofErr w:type="gramStart"/>
      <w:r>
        <w:rPr>
          <w:sz w:val="20"/>
          <w:szCs w:val="20"/>
        </w:rPr>
        <w:t>executed, and</w:t>
      </w:r>
      <w:proofErr w:type="gramEnd"/>
      <w:r>
        <w:rPr>
          <w:sz w:val="20"/>
          <w:szCs w:val="20"/>
        </w:rPr>
        <w:t xml:space="preserve"> thus will never be reinforced and repeated. </w:t>
      </w:r>
    </w:p>
    <w:p w14:paraId="3CA64581" w14:textId="77777777" w:rsidR="00B54B24" w:rsidRDefault="00B54B24" w:rsidP="00B92266">
      <w:pPr>
        <w:spacing w:line="360" w:lineRule="auto"/>
        <w:rPr>
          <w:sz w:val="20"/>
          <w:szCs w:val="20"/>
        </w:rPr>
      </w:pPr>
    </w:p>
    <w:p w14:paraId="51C53776" w14:textId="7A6E69AD"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w:t>
      </w:r>
      <w:proofErr w:type="gramStart"/>
      <w:r>
        <w:rPr>
          <w:sz w:val="20"/>
          <w:szCs w:val="20"/>
        </w:rPr>
        <w:t>as a result of</w:t>
      </w:r>
      <w:proofErr w:type="gramEnd"/>
      <w:r>
        <w:rPr>
          <w:sz w:val="20"/>
          <w:szCs w:val="20"/>
        </w:rPr>
        <w:t xml:space="preserve">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w:t>
      </w:r>
      <w:r w:rsidRPr="004D542A">
        <w:rPr>
          <w:color w:val="943634" w:themeColor="accent2" w:themeShade="BF"/>
          <w:sz w:val="20"/>
          <w:szCs w:val="20"/>
        </w:rPr>
        <w:t>. Many so-called “sub-optimal” choices, like probability matching</w:t>
      </w:r>
      <w:r w:rsidR="00F634BB" w:rsidRPr="004D542A">
        <w:rPr>
          <w:color w:val="943634" w:themeColor="accent2" w:themeShade="BF"/>
          <w:sz w:val="20"/>
          <w:szCs w:val="20"/>
        </w:rPr>
        <w:t xml:space="preserve"> (Edwards, 1956)</w:t>
      </w:r>
      <w:r w:rsidRPr="004D542A">
        <w:rPr>
          <w:color w:val="943634" w:themeColor="accent2" w:themeShade="BF"/>
          <w:sz w:val="20"/>
          <w:szCs w:val="20"/>
        </w:rPr>
        <w:t xml:space="preserve">, </w:t>
      </w:r>
      <w:r w:rsidR="00F634BB" w:rsidRPr="004D542A">
        <w:rPr>
          <w:color w:val="943634" w:themeColor="accent2" w:themeShade="BF"/>
          <w:sz w:val="20"/>
          <w:szCs w:val="20"/>
        </w:rPr>
        <w:t>have been suggested to</w:t>
      </w:r>
      <w:r w:rsidRPr="004D542A">
        <w:rPr>
          <w:color w:val="943634" w:themeColor="accent2" w:themeShade="BF"/>
          <w:sz w:val="20"/>
          <w:szCs w:val="20"/>
        </w:rPr>
        <w:t xml:space="preserve"> result from </w:t>
      </w:r>
      <w:r w:rsidR="00F634BB" w:rsidRPr="004D542A">
        <w:rPr>
          <w:color w:val="943634" w:themeColor="accent2" w:themeShade="BF"/>
          <w:sz w:val="20"/>
          <w:szCs w:val="20"/>
        </w:rPr>
        <w:t>trying to predict</w:t>
      </w:r>
      <w:r w:rsidRPr="004D542A">
        <w:rPr>
          <w:color w:val="943634" w:themeColor="accent2" w:themeShade="BF"/>
          <w:sz w:val="20"/>
          <w:szCs w:val="20"/>
        </w:rPr>
        <w:t xml:space="preserve"> short-term, idiosyncratic variations in local context</w:t>
      </w:r>
      <w:r w:rsidR="00F634BB" w:rsidRPr="004D542A">
        <w:rPr>
          <w:color w:val="943634" w:themeColor="accent2" w:themeShade="BF"/>
          <w:sz w:val="20"/>
          <w:szCs w:val="20"/>
        </w:rPr>
        <w:t xml:space="preserve"> (e.g. Gao &amp; Corter, 2015)</w:t>
      </w:r>
      <w:r w:rsidRPr="004D542A">
        <w:rPr>
          <w:color w:val="943634" w:themeColor="accent2" w:themeShade="BF"/>
          <w:sz w:val="20"/>
          <w:szCs w:val="20"/>
        </w:rPr>
        <w:t>.</w:t>
      </w:r>
      <w:r>
        <w:rPr>
          <w:sz w:val="20"/>
          <w:szCs w:val="20"/>
        </w:rPr>
        <w:t xml:space="preserve"> Similarly, opting for larger reward later over a smaller one now is only optimal if the environment is stable. However, environments are rarely stable, and incorrectly assuming they </w:t>
      </w:r>
      <w:proofErr w:type="gramStart"/>
      <w:r>
        <w:rPr>
          <w:sz w:val="20"/>
          <w:szCs w:val="20"/>
        </w:rPr>
        <w:t>are could lead</w:t>
      </w:r>
      <w:proofErr w:type="gramEnd"/>
      <w:r>
        <w:rPr>
          <w:sz w:val="20"/>
          <w:szCs w:val="20"/>
        </w:rPr>
        <w:t xml:space="preserve">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Kolling,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One example of this comes from Nowakowska et al. (2024)</w:t>
      </w:r>
      <w:r w:rsidR="00327375">
        <w:rPr>
          <w:color w:val="F79646" w:themeColor="accent6"/>
          <w:sz w:val="20"/>
          <w:szCs w:val="20"/>
        </w:rPr>
        <w:t>,</w:t>
      </w:r>
      <w:r w:rsidR="00486EE1">
        <w:rPr>
          <w:color w:val="F79646" w:themeColor="accent6"/>
          <w:sz w:val="20"/>
          <w:szCs w:val="20"/>
        </w:rPr>
        <w:t xml:space="preserve"> who showed that search </w:t>
      </w:r>
      <w:r w:rsidR="00486EE1">
        <w:rPr>
          <w:color w:val="F79646" w:themeColor="accent6"/>
          <w:sz w:val="20"/>
          <w:szCs w:val="20"/>
        </w:rPr>
        <w:lastRenderedPageBreak/>
        <w:t xml:space="preserve">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r w:rsidRPr="00E74BC1">
        <w:rPr>
          <w:sz w:val="20"/>
          <w:szCs w:val="20"/>
        </w:rPr>
        <w:t xml:space="preserve">Alibali,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Chantler,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Kindt, M., Knot, S. L., Verhoeven, A. A., Robbins, T. W., Gasull-Camos, J., ... &amp; Gillan,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431AD8D4" w14:textId="3CC2FC52" w:rsidR="00F634BB" w:rsidRDefault="00F634BB" w:rsidP="00B92266">
      <w:pPr>
        <w:spacing w:line="360" w:lineRule="auto"/>
        <w:ind w:left="567" w:hanging="567"/>
        <w:rPr>
          <w:sz w:val="20"/>
          <w:szCs w:val="20"/>
        </w:rPr>
      </w:pPr>
      <w:r>
        <w:rPr>
          <w:rFonts w:ascii="Merriweather Sans" w:hAnsi="Merriweather Sans"/>
          <w:color w:val="222222"/>
          <w:shd w:val="clear" w:color="auto" w:fill="FFFFFF"/>
        </w:rPr>
        <w:lastRenderedPageBreak/>
        <w:t>Edwards, W. (1956). Reward probability, amount, and information as determiners of sequential two-alternative decision. </w:t>
      </w:r>
      <w:r>
        <w:rPr>
          <w:rFonts w:ascii="Merriweather Sans" w:hAnsi="Merriweather Sans"/>
          <w:i/>
          <w:iCs/>
          <w:color w:val="222222"/>
          <w:shd w:val="clear" w:color="auto" w:fill="FFFFFF"/>
        </w:rPr>
        <w:t>Journal of Experimental Psychology, 52,</w:t>
      </w:r>
      <w:r>
        <w:rPr>
          <w:rFonts w:ascii="Merriweather Sans" w:hAnsi="Merriweather Sans"/>
          <w:color w:val="222222"/>
          <w:shd w:val="clear" w:color="auto" w:fill="FFFFFF"/>
        </w:rPr>
        <w:t> 177–188.</w:t>
      </w:r>
    </w:p>
    <w:p w14:paraId="3B84C91A" w14:textId="1A4423B7" w:rsidR="00B54B24"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317AEAEE" w14:textId="1DF4C6EB" w:rsidR="00B5073B" w:rsidRPr="00E74BC1" w:rsidRDefault="00F634BB" w:rsidP="00B92266">
      <w:pPr>
        <w:spacing w:line="360" w:lineRule="auto"/>
        <w:ind w:left="567" w:hanging="567"/>
        <w:rPr>
          <w:sz w:val="20"/>
          <w:szCs w:val="20"/>
        </w:rPr>
      </w:pPr>
      <w:r>
        <w:rPr>
          <w:rFonts w:ascii="Merriweather Sans" w:hAnsi="Merriweather Sans"/>
          <w:color w:val="222222"/>
          <w:shd w:val="clear" w:color="auto" w:fill="FFFFFF"/>
        </w:rPr>
        <w:t>Gao, J., Corter, J.E. Striving for perfection and falling short: The influence of goals on probability matching. </w:t>
      </w:r>
      <w:r>
        <w:rPr>
          <w:rFonts w:ascii="Merriweather Sans" w:hAnsi="Merriweather Sans"/>
          <w:i/>
          <w:iCs/>
          <w:color w:val="222222"/>
          <w:shd w:val="clear" w:color="auto" w:fill="FFFFFF"/>
        </w:rPr>
        <w:t xml:space="preserve">Mem </w:t>
      </w:r>
      <w:proofErr w:type="spellStart"/>
      <w:r>
        <w:rPr>
          <w:rFonts w:ascii="Merriweather Sans" w:hAnsi="Merriweather Sans"/>
          <w:i/>
          <w:iCs/>
          <w:color w:val="222222"/>
          <w:shd w:val="clear" w:color="auto" w:fill="FFFFFF"/>
        </w:rPr>
        <w:t>Cogn</w:t>
      </w:r>
      <w:proofErr w:type="spellEnd"/>
      <w:r>
        <w:rPr>
          <w:rFonts w:ascii="Merriweather Sans" w:hAnsi="Merriweather Sans"/>
          <w:color w:val="222222"/>
          <w:shd w:val="clear" w:color="auto" w:fill="FFFFFF"/>
        </w:rPr>
        <w:t> </w:t>
      </w:r>
      <w:r>
        <w:rPr>
          <w:rFonts w:ascii="Merriweather Sans" w:hAnsi="Merriweather Sans"/>
          <w:b/>
          <w:bCs/>
          <w:color w:val="222222"/>
          <w:shd w:val="clear" w:color="auto" w:fill="FFFFFF"/>
        </w:rPr>
        <w:t>43</w:t>
      </w:r>
      <w:r>
        <w:rPr>
          <w:rFonts w:ascii="Merriweather Sans" w:hAnsi="Merriweather Sans"/>
          <w:color w:val="222222"/>
          <w:shd w:val="clear" w:color="auto" w:fill="FFFFFF"/>
        </w:rPr>
        <w:t>, 748–759 (2015).</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w:t>
      </w:r>
      <w:proofErr w:type="gramStart"/>
      <w:r w:rsidRPr="00E74BC1">
        <w:rPr>
          <w:sz w:val="20"/>
          <w:szCs w:val="20"/>
        </w:rPr>
        <w:t>solving:</w:t>
      </w:r>
      <w:proofErr w:type="gramEnd"/>
      <w:r w:rsidRPr="00E74BC1">
        <w:rPr>
          <w:sz w:val="20"/>
          <w:szCs w:val="20"/>
        </w:rPr>
        <w:t xml:space="preserve">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Kangur,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r w:rsidRPr="00E74BC1">
        <w:rPr>
          <w:sz w:val="20"/>
          <w:szCs w:val="20"/>
        </w:rPr>
        <w:t xml:space="preserve">Kolling,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r w:rsidRPr="00E74BC1">
        <w:rPr>
          <w:sz w:val="20"/>
          <w:szCs w:val="20"/>
        </w:rPr>
        <w:t xml:space="preserve">Morvan,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r w:rsidRPr="00E74BC1">
        <w:rPr>
          <w:sz w:val="20"/>
          <w:szCs w:val="20"/>
        </w:rPr>
        <w:t xml:space="preserve">Nowakowska,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r w:rsidRPr="00E74BC1">
        <w:rPr>
          <w:sz w:val="20"/>
          <w:szCs w:val="20"/>
        </w:rPr>
        <w:t xml:space="preserve">O’Doherty,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r w:rsidRPr="00E74BC1">
        <w:rPr>
          <w:sz w:val="20"/>
          <w:szCs w:val="20"/>
        </w:rPr>
        <w:lastRenderedPageBreak/>
        <w:t xml:space="preserve">Shors, T.J. &amp; Dryver,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Lleras,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r w:rsidR="00FD3E3E">
        <w:rPr>
          <w:sz w:val="20"/>
          <w:szCs w:val="20"/>
        </w:rPr>
        <w:t>Anwyl-</w:t>
      </w:r>
      <w:r>
        <w:rPr>
          <w:sz w:val="20"/>
          <w:szCs w:val="20"/>
        </w:rPr>
        <w:t xml:space="preserve">Irvine, Ellen Angus, and Anna Nowakowska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37B35DBE" w:rsidR="00B54B24" w:rsidRDefault="00FB4B01" w:rsidP="00B92266">
      <w:pPr>
        <w:spacing w:after="160" w:line="360" w:lineRule="auto"/>
        <w:rPr>
          <w:b/>
          <w:sz w:val="24"/>
          <w:szCs w:val="24"/>
        </w:rPr>
      </w:pPr>
      <w:r>
        <w:rPr>
          <w:b/>
          <w:sz w:val="24"/>
          <w:szCs w:val="24"/>
        </w:rPr>
        <w:t>Appendix</w:t>
      </w:r>
      <w:r w:rsidR="00C12E6B">
        <w:rPr>
          <w:b/>
          <w:sz w:val="24"/>
          <w:szCs w:val="24"/>
        </w:rPr>
        <w:t xml:space="preserve"> A</w:t>
      </w:r>
      <w:r>
        <w:rPr>
          <w:b/>
          <w:sz w:val="24"/>
          <w:szCs w:val="24"/>
        </w:rPr>
        <w:t xml:space="preserve">: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w:t>
      </w:r>
      <w:r>
        <w:rPr>
          <w:sz w:val="20"/>
          <w:szCs w:val="20"/>
        </w:rPr>
        <w:lastRenderedPageBreak/>
        <w:t xml:space="preserve">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w:t>
      </w:r>
      <w:proofErr w:type="gramStart"/>
      <w:r>
        <w:rPr>
          <w:sz w:val="20"/>
          <w:szCs w:val="20"/>
        </w:rPr>
        <w:t>similar to</w:t>
      </w:r>
      <w:proofErr w:type="gramEnd"/>
      <w:r>
        <w:rPr>
          <w:sz w:val="20"/>
          <w:szCs w:val="20"/>
        </w:rPr>
        <w:t xml:space="preserve">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w:t>
      </w:r>
      <w:proofErr w:type="gramStart"/>
      <w:r>
        <w:rPr>
          <w:sz w:val="20"/>
          <w:szCs w:val="20"/>
        </w:rPr>
        <w:t>bean-bags</w:t>
      </w:r>
      <w:proofErr w:type="gramEnd"/>
      <w:r>
        <w:rPr>
          <w:sz w:val="20"/>
          <w:szCs w:val="20"/>
        </w:rPr>
        <w:t xml:space="preserve">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w:t>
      </w:r>
      <w:proofErr w:type="gramStart"/>
      <w:r>
        <w:rPr>
          <w:sz w:val="20"/>
          <w:szCs w:val="20"/>
        </w:rPr>
        <w:t>bean-bag</w:t>
      </w:r>
      <w:proofErr w:type="gramEnd"/>
      <w:r>
        <w:rPr>
          <w:sz w:val="20"/>
          <w:szCs w:val="20"/>
        </w:rPr>
        <w:t xml:space="preserve">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w:t>
      </w:r>
      <w:r>
        <w:rPr>
          <w:sz w:val="20"/>
          <w:szCs w:val="20"/>
        </w:rPr>
        <w:lastRenderedPageBreak/>
        <w:t>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w:t>
      </w:r>
      <w:proofErr w:type="gramStart"/>
      <w:r>
        <w:rPr>
          <w:sz w:val="20"/>
          <w:szCs w:val="20"/>
        </w:rPr>
        <w:t>50%, and</w:t>
      </w:r>
      <w:proofErr w:type="gramEnd"/>
      <w:r>
        <w:rPr>
          <w:sz w:val="20"/>
          <w:szCs w:val="20"/>
        </w:rPr>
        <w:t xml:space="preserve">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w:t>
      </w:r>
      <w:proofErr w:type="gramStart"/>
      <w:r>
        <w:rPr>
          <w:sz w:val="20"/>
          <w:szCs w:val="20"/>
        </w:rPr>
        <w:t>box</w:t>
      </w:r>
      <w:proofErr w:type="gramEnd"/>
      <w:r>
        <w:rPr>
          <w:sz w:val="20"/>
          <w:szCs w:val="20"/>
        </w:rPr>
        <w:t xml:space="preserve"> they will be 50% correct, giving an expected overall accuracy of 75%. This is shown as the blue line in Figure A1. Again, </w:t>
      </w:r>
      <w:proofErr w:type="gramStart"/>
      <w:r>
        <w:rPr>
          <w:sz w:val="20"/>
          <w:szCs w:val="20"/>
        </w:rPr>
        <w:t>it is clear that expert</w:t>
      </w:r>
      <w:proofErr w:type="gramEnd"/>
      <w:r>
        <w:rPr>
          <w:sz w:val="20"/>
          <w:szCs w:val="20"/>
        </w:rPr>
        <w:t xml:space="preserve">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p w14:paraId="237E1A1E" w14:textId="10546FBC" w:rsidR="00C12E6B" w:rsidRPr="00DB5CCD" w:rsidRDefault="00C12E6B" w:rsidP="00B92266">
      <w:pPr>
        <w:spacing w:line="360" w:lineRule="auto"/>
        <w:rPr>
          <w:b/>
          <w:bCs/>
          <w:sz w:val="20"/>
          <w:szCs w:val="20"/>
        </w:rPr>
      </w:pPr>
      <w:r w:rsidRPr="00DB5CCD">
        <w:rPr>
          <w:b/>
          <w:bCs/>
          <w:sz w:val="20"/>
          <w:szCs w:val="20"/>
        </w:rPr>
        <w:t>Appendix B: pre-registered analysis of Experiment 2</w:t>
      </w:r>
    </w:p>
    <w:p w14:paraId="558F9803" w14:textId="77777777" w:rsidR="0002621B" w:rsidRDefault="0002621B" w:rsidP="00B92266">
      <w:pPr>
        <w:spacing w:line="360" w:lineRule="auto"/>
        <w:rPr>
          <w:sz w:val="20"/>
          <w:szCs w:val="20"/>
        </w:rPr>
      </w:pPr>
    </w:p>
    <w:p w14:paraId="71AC6C24" w14:textId="485F7B9F" w:rsidR="009E6D91" w:rsidRDefault="00DB5CCD" w:rsidP="009E6D91">
      <w:pPr>
        <w:spacing w:after="160" w:line="360" w:lineRule="auto"/>
        <w:rPr>
          <w:sz w:val="20"/>
          <w:szCs w:val="20"/>
        </w:rPr>
      </w:pPr>
      <w:r>
        <w:rPr>
          <w:sz w:val="20"/>
          <w:szCs w:val="20"/>
        </w:rPr>
        <w:t xml:space="preserve">To align with Experiment 1, we adopted a Bayesian approach to modeling the data from Experiment 2 in the main text. But the pre-registration </w:t>
      </w:r>
      <w:r w:rsidR="009E6D91">
        <w:rPr>
          <w:sz w:val="20"/>
          <w:szCs w:val="20"/>
        </w:rPr>
        <w:t>(</w:t>
      </w:r>
      <w:hyperlink r:id="rId21" w:history="1">
        <w:r w:rsidR="009E6D91" w:rsidRPr="00C22FF3">
          <w:rPr>
            <w:rStyle w:val="Hyperlink"/>
            <w:sz w:val="20"/>
            <w:szCs w:val="20"/>
          </w:rPr>
          <w:t>https://osf.io/deh4j</w:t>
        </w:r>
      </w:hyperlink>
      <w:r w:rsidR="009E6D91">
        <w:rPr>
          <w:sz w:val="20"/>
          <w:szCs w:val="20"/>
        </w:rPr>
        <w:t xml:space="preserve">) </w:t>
      </w:r>
      <w:r>
        <w:rPr>
          <w:sz w:val="20"/>
          <w:szCs w:val="20"/>
        </w:rPr>
        <w:t>specified a frequentist analysis. There are no contradictions in the conclusions one would draw from the two approaches, but in the interest of transparency and completeness we report the pre-registered version of the analysis here. We specified that we would</w:t>
      </w:r>
      <w:r w:rsidR="00315CC3">
        <w:rPr>
          <w:sz w:val="20"/>
          <w:szCs w:val="20"/>
        </w:rPr>
        <w:t xml:space="preserve"> </w:t>
      </w:r>
      <w:r w:rsidR="0002621B">
        <w:rPr>
          <w:sz w:val="20"/>
          <w:szCs w:val="20"/>
        </w:rPr>
        <w:t xml:space="preserve">calculate a difference score between each participant’s expected target discrimination accuracy (under an optimal model) and their actual observed accuracy. This gives a measure of how close to optimal each participant is. </w:t>
      </w:r>
      <w:r w:rsidR="009E6D91">
        <w:rPr>
          <w:sz w:val="20"/>
          <w:szCs w:val="20"/>
        </w:rPr>
        <w:t xml:space="preserve">The main test here is a between-group t-test on Session 2 performance, which address the hypothesis that participants who initially were guided to make eye movements that maximize their chance of correct target discrimination would continue to perform optimally when freely choosing where to fixate in Session 2.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sidR="009E6D91">
        <w:rPr>
          <w:sz w:val="20"/>
          <w:szCs w:val="20"/>
        </w:rPr>
        <w:t>). As also specified in the pre-registration, Figure A3 shows accuracy against expected accuracy for each participant across both sessions.</w:t>
      </w:r>
    </w:p>
    <w:p w14:paraId="026E62B0" w14:textId="4A35D5BA" w:rsidR="0002621B" w:rsidRDefault="00DB5CCD" w:rsidP="00B92266">
      <w:pPr>
        <w:spacing w:line="360" w:lineRule="auto"/>
        <w:rPr>
          <w:sz w:val="20"/>
          <w:szCs w:val="20"/>
        </w:rPr>
      </w:pPr>
      <w:r>
        <w:rPr>
          <w:noProof/>
          <w:sz w:val="20"/>
          <w:szCs w:val="20"/>
        </w:rPr>
        <w:lastRenderedPageBreak/>
        <w:drawing>
          <wp:inline distT="114300" distB="114300" distL="114300" distR="114300" wp14:anchorId="0E552D72" wp14:editId="74BD1EF7">
            <wp:extent cx="4367213" cy="2183606"/>
            <wp:effectExtent l="0" t="0" r="0" b="0"/>
            <wp:docPr id="16074929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67213" cy="2183606"/>
                    </a:xfrm>
                    <a:prstGeom prst="rect">
                      <a:avLst/>
                    </a:prstGeom>
                    <a:ln/>
                  </pic:spPr>
                </pic:pic>
              </a:graphicData>
            </a:graphic>
          </wp:inline>
        </w:drawing>
      </w:r>
    </w:p>
    <w:p w14:paraId="7964D630" w14:textId="4CA1CC82" w:rsidR="003C7237" w:rsidRPr="003C7237" w:rsidRDefault="003C7237" w:rsidP="00B92266">
      <w:pPr>
        <w:spacing w:line="360" w:lineRule="auto"/>
        <w:rPr>
          <w:i/>
          <w:iCs/>
          <w:sz w:val="20"/>
          <w:szCs w:val="20"/>
        </w:rPr>
      </w:pPr>
      <w:r w:rsidRPr="003C7237">
        <w:rPr>
          <w:i/>
          <w:iCs/>
          <w:sz w:val="20"/>
          <w:szCs w:val="20"/>
        </w:rPr>
        <w:t xml:space="preserve">Figure A3. Optimal accuracy is an individualized estimate of how well a participant would have performed had they made optimal decisions, given their performance in the visual acuity phase of the experiment. The primed group was given fixation instructions in the first session and not in the second.  </w:t>
      </w:r>
    </w:p>
    <w:p w14:paraId="40582913" w14:textId="77777777" w:rsidR="003C7237" w:rsidRDefault="003C7237" w:rsidP="00B92266">
      <w:pPr>
        <w:spacing w:line="360" w:lineRule="auto"/>
        <w:rPr>
          <w:sz w:val="20"/>
          <w:szCs w:val="20"/>
        </w:rPr>
      </w:pPr>
    </w:p>
    <w:p w14:paraId="703A82B0" w14:textId="77777777" w:rsidR="003C7237" w:rsidRDefault="003C7237" w:rsidP="003C7237">
      <w:pPr>
        <w:spacing w:after="160" w:line="360" w:lineRule="auto"/>
        <w:rPr>
          <w:sz w:val="20"/>
          <w:szCs w:val="20"/>
        </w:rPr>
      </w:pPr>
      <w:r>
        <w:rPr>
          <w:sz w:val="20"/>
          <w:szCs w:val="20"/>
        </w:rPr>
        <w:t>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We also specified that we would compare this measure in the control group between session 1 and session 2 to see if there were significant practice effects, and there were not (</w:t>
      </w:r>
      <m:oMath>
        <m:r>
          <w:rPr>
            <w:rFonts w:ascii="Cambria Math" w:hAnsi="Cambria Math"/>
            <w:sz w:val="20"/>
            <w:szCs w:val="20"/>
          </w:rPr>
          <m:t>t(22)= .866;  p=.395</m:t>
        </m:r>
      </m:oMath>
      <w:r>
        <w:rPr>
          <w:sz w:val="20"/>
          <w:szCs w:val="20"/>
        </w:rPr>
        <w:t>).</w:t>
      </w:r>
    </w:p>
    <w:p w14:paraId="783BD4E1" w14:textId="27C667F6" w:rsidR="003C7237" w:rsidRDefault="003C7237" w:rsidP="00B92266">
      <w:pPr>
        <w:spacing w:line="360" w:lineRule="auto"/>
        <w:rPr>
          <w:sz w:val="20"/>
          <w:szCs w:val="20"/>
        </w:rPr>
      </w:pPr>
      <w:r>
        <w:rPr>
          <w:sz w:val="20"/>
          <w:szCs w:val="20"/>
        </w:rPr>
        <w:t>All other aspects of the analysis and visualization specified in the pre-registration appear in the main text.</w:t>
      </w:r>
    </w:p>
    <w:sectPr w:rsidR="003C7237" w:rsidSect="001261EC">
      <w:footerReference w:type="even" r:id="rId23"/>
      <w:footerReference w:type="defaul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BBEC1" w14:textId="77777777" w:rsidR="004A26A9" w:rsidRDefault="004A26A9">
      <w:pPr>
        <w:spacing w:line="240" w:lineRule="auto"/>
      </w:pPr>
      <w:r>
        <w:separator/>
      </w:r>
    </w:p>
  </w:endnote>
  <w:endnote w:type="continuationSeparator" w:id="0">
    <w:p w14:paraId="7C57A2DC" w14:textId="77777777" w:rsidR="004A26A9" w:rsidRDefault="004A26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Merriweather Sans">
    <w:panose1 w:val="00000000000000000000"/>
    <w:charset w:val="4D"/>
    <w:family w:val="auto"/>
    <w:pitch w:val="variable"/>
    <w:sig w:usb0="A00004FF" w:usb1="4000207B" w:usb2="00000000" w:usb3="00000000" w:csb0="0000019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27F9C" w14:textId="77777777" w:rsidR="004A26A9" w:rsidRDefault="004A26A9">
      <w:pPr>
        <w:spacing w:line="240" w:lineRule="auto"/>
      </w:pPr>
      <w:r>
        <w:separator/>
      </w:r>
    </w:p>
  </w:footnote>
  <w:footnote w:type="continuationSeparator" w:id="0">
    <w:p w14:paraId="68E80464" w14:textId="77777777" w:rsidR="004A26A9" w:rsidRDefault="004A26A9">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w:t>
      </w:r>
      <w:proofErr w:type="gramStart"/>
      <w:r>
        <w:rPr>
          <w:sz w:val="20"/>
          <w:szCs w:val="20"/>
        </w:rPr>
        <w:t>time, and</w:t>
      </w:r>
      <w:proofErr w:type="gramEnd"/>
      <w:r>
        <w:rPr>
          <w:sz w:val="20"/>
          <w:szCs w:val="20"/>
        </w:rPr>
        <w:t xml:space="preserve"> subsequently swept aside by the cognitive revolution in the 1950’s, which tended to somewhat indiscriminately characterize all the research of this era as behaviourist. </w:t>
      </w:r>
    </w:p>
  </w:footnote>
  <w:footnote w:id="3">
    <w:p w14:paraId="1641CE23" w14:textId="7CF5A747" w:rsidR="000F0486" w:rsidRPr="000F0486" w:rsidRDefault="000F0486">
      <w:pPr>
        <w:pStyle w:val="FootnoteText"/>
        <w:rPr>
          <w:lang w:val="en-GB"/>
        </w:rPr>
      </w:pPr>
      <w:r>
        <w:rPr>
          <w:rStyle w:val="FootnoteReference"/>
        </w:rPr>
        <w:footnoteRef/>
      </w:r>
      <w:r>
        <w:t xml:space="preserve"> </w:t>
      </w:r>
      <w:r w:rsidRPr="00791E26">
        <w:rPr>
          <w:color w:val="C0504D" w:themeColor="accent2"/>
        </w:rPr>
        <w:t>To be confident that</w:t>
      </w:r>
      <w:r>
        <w:rPr>
          <w:color w:val="C0504D" w:themeColor="accent2"/>
        </w:rPr>
        <w:t xml:space="preserve"> the source of this limitation is</w:t>
      </w:r>
      <w:r w:rsidRPr="00791E26">
        <w:rPr>
          <w:color w:val="C0504D" w:themeColor="accent2"/>
        </w:rPr>
        <w:t xml:space="preserve"> a failure to recognize the solution rather than a failure to execute it effectively, Appendix A presents </w:t>
      </w:r>
      <w:r>
        <w:rPr>
          <w:color w:val="C0504D" w:themeColor="accent2"/>
        </w:rPr>
        <w:t>a control experiment in which we</w:t>
      </w:r>
      <w:r w:rsidRPr="00791E26">
        <w:rPr>
          <w:color w:val="C0504D" w:themeColor="accent2"/>
        </w:rPr>
        <w:t xml:space="preserve"> </w:t>
      </w:r>
      <w:r>
        <w:rPr>
          <w:color w:val="C0504D" w:themeColor="accent2"/>
        </w:rPr>
        <w:t>test</w:t>
      </w:r>
      <w:r w:rsidRPr="00791E26">
        <w:rPr>
          <w:color w:val="C0504D" w:themeColor="accent2"/>
        </w:rPr>
        <w:t xml:space="preserve"> non-naive participants </w:t>
      </w:r>
      <w:r>
        <w:rPr>
          <w:color w:val="C0504D" w:themeColor="accent2"/>
        </w:rPr>
        <w:t>under the same conditions used to test for transfer in Experiments 1 and 2</w:t>
      </w:r>
      <w:r w:rsidRPr="00791E26">
        <w:rPr>
          <w:color w:val="C0504D" w:themeColor="accent2"/>
        </w:rPr>
        <w:t>.</w:t>
      </w:r>
      <w:r>
        <w:rPr>
          <w:color w:val="F79646" w:themeColor="accent6"/>
        </w:rPr>
        <w:t xml:space="preserve"> </w:t>
      </w:r>
      <w:r w:rsidRPr="00B65062">
        <w:rPr>
          <w:color w:val="C0504D" w:themeColor="accent2"/>
        </w:rPr>
        <w:t>The</w:t>
      </w:r>
      <w:r>
        <w:rPr>
          <w:color w:val="C0504D" w:themeColor="accent2"/>
        </w:rPr>
        <w:t xml:space="preserve">se participants, whose declarative knowledge includes a generic rule for solving the focus-divide dilemma, can execute the rule </w:t>
      </w:r>
      <w:r w:rsidRPr="00791E26">
        <w:rPr>
          <w:color w:val="C0504D" w:themeColor="accent2"/>
        </w:rPr>
        <w:t>easily</w:t>
      </w:r>
      <w:r>
        <w:rPr>
          <w:color w:val="C0504D" w:themeColor="accent2"/>
        </w:rPr>
        <w:t xml:space="preserve"> under these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11C52"/>
    <w:rsid w:val="0002161A"/>
    <w:rsid w:val="0002621B"/>
    <w:rsid w:val="00031281"/>
    <w:rsid w:val="00034094"/>
    <w:rsid w:val="00054CFE"/>
    <w:rsid w:val="0005687F"/>
    <w:rsid w:val="00056FD5"/>
    <w:rsid w:val="00066ABE"/>
    <w:rsid w:val="000709A1"/>
    <w:rsid w:val="000A2E44"/>
    <w:rsid w:val="000A61B5"/>
    <w:rsid w:val="000B201C"/>
    <w:rsid w:val="000B2289"/>
    <w:rsid w:val="000F0486"/>
    <w:rsid w:val="000F17D4"/>
    <w:rsid w:val="00125205"/>
    <w:rsid w:val="001261EC"/>
    <w:rsid w:val="00131592"/>
    <w:rsid w:val="00135FEF"/>
    <w:rsid w:val="001435F8"/>
    <w:rsid w:val="00143F6A"/>
    <w:rsid w:val="00160CD1"/>
    <w:rsid w:val="00166102"/>
    <w:rsid w:val="00170BAA"/>
    <w:rsid w:val="00175B64"/>
    <w:rsid w:val="001818FD"/>
    <w:rsid w:val="00183644"/>
    <w:rsid w:val="00196303"/>
    <w:rsid w:val="001B041E"/>
    <w:rsid w:val="001B1E9D"/>
    <w:rsid w:val="001B7DCA"/>
    <w:rsid w:val="001C2753"/>
    <w:rsid w:val="001D521B"/>
    <w:rsid w:val="001E2755"/>
    <w:rsid w:val="001F5727"/>
    <w:rsid w:val="002058E0"/>
    <w:rsid w:val="0021153B"/>
    <w:rsid w:val="002175D7"/>
    <w:rsid w:val="00235977"/>
    <w:rsid w:val="002376F9"/>
    <w:rsid w:val="00245D56"/>
    <w:rsid w:val="00263061"/>
    <w:rsid w:val="002632F5"/>
    <w:rsid w:val="00271BA8"/>
    <w:rsid w:val="002722E4"/>
    <w:rsid w:val="00273A0E"/>
    <w:rsid w:val="002C3ADA"/>
    <w:rsid w:val="002C5511"/>
    <w:rsid w:val="002E26BA"/>
    <w:rsid w:val="002F6ABC"/>
    <w:rsid w:val="003047C8"/>
    <w:rsid w:val="00315CC3"/>
    <w:rsid w:val="00322C62"/>
    <w:rsid w:val="0032318A"/>
    <w:rsid w:val="00327375"/>
    <w:rsid w:val="00330D75"/>
    <w:rsid w:val="003318CC"/>
    <w:rsid w:val="00332125"/>
    <w:rsid w:val="0036640A"/>
    <w:rsid w:val="0037174D"/>
    <w:rsid w:val="00373942"/>
    <w:rsid w:val="00384408"/>
    <w:rsid w:val="003925F2"/>
    <w:rsid w:val="00393FF7"/>
    <w:rsid w:val="00395D02"/>
    <w:rsid w:val="003A1D60"/>
    <w:rsid w:val="003B1257"/>
    <w:rsid w:val="003B56B9"/>
    <w:rsid w:val="003C44B4"/>
    <w:rsid w:val="003C7237"/>
    <w:rsid w:val="003D156A"/>
    <w:rsid w:val="003F17D3"/>
    <w:rsid w:val="004063D4"/>
    <w:rsid w:val="00413B92"/>
    <w:rsid w:val="00413F94"/>
    <w:rsid w:val="00414186"/>
    <w:rsid w:val="00421B8B"/>
    <w:rsid w:val="00426A9E"/>
    <w:rsid w:val="00430610"/>
    <w:rsid w:val="00440928"/>
    <w:rsid w:val="00443DB0"/>
    <w:rsid w:val="00463223"/>
    <w:rsid w:val="004663ED"/>
    <w:rsid w:val="004858EC"/>
    <w:rsid w:val="00486EE1"/>
    <w:rsid w:val="0049683C"/>
    <w:rsid w:val="004A26A9"/>
    <w:rsid w:val="004A3F21"/>
    <w:rsid w:val="004B5C02"/>
    <w:rsid w:val="004C2C56"/>
    <w:rsid w:val="004C6F4A"/>
    <w:rsid w:val="004D542A"/>
    <w:rsid w:val="004F7166"/>
    <w:rsid w:val="00524845"/>
    <w:rsid w:val="0052679D"/>
    <w:rsid w:val="00532985"/>
    <w:rsid w:val="00541213"/>
    <w:rsid w:val="005459E8"/>
    <w:rsid w:val="005543CC"/>
    <w:rsid w:val="00570477"/>
    <w:rsid w:val="0057559F"/>
    <w:rsid w:val="0057798E"/>
    <w:rsid w:val="005931D0"/>
    <w:rsid w:val="005C492B"/>
    <w:rsid w:val="005C733F"/>
    <w:rsid w:val="005E5AF0"/>
    <w:rsid w:val="005E666F"/>
    <w:rsid w:val="005F0599"/>
    <w:rsid w:val="005F5620"/>
    <w:rsid w:val="00600DBC"/>
    <w:rsid w:val="006051D9"/>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91E26"/>
    <w:rsid w:val="007A0FDA"/>
    <w:rsid w:val="007A3A01"/>
    <w:rsid w:val="007A586E"/>
    <w:rsid w:val="007B6804"/>
    <w:rsid w:val="007C033D"/>
    <w:rsid w:val="007D3AB7"/>
    <w:rsid w:val="008069AE"/>
    <w:rsid w:val="008312ED"/>
    <w:rsid w:val="00853738"/>
    <w:rsid w:val="00854DB5"/>
    <w:rsid w:val="008603DB"/>
    <w:rsid w:val="008665FC"/>
    <w:rsid w:val="00871C42"/>
    <w:rsid w:val="00885DE2"/>
    <w:rsid w:val="008B7749"/>
    <w:rsid w:val="008D1608"/>
    <w:rsid w:val="008D25BA"/>
    <w:rsid w:val="00934230"/>
    <w:rsid w:val="00935836"/>
    <w:rsid w:val="009422BB"/>
    <w:rsid w:val="00944466"/>
    <w:rsid w:val="00955DAB"/>
    <w:rsid w:val="00962B33"/>
    <w:rsid w:val="00966120"/>
    <w:rsid w:val="00966CDA"/>
    <w:rsid w:val="009805DB"/>
    <w:rsid w:val="009826D0"/>
    <w:rsid w:val="0099310D"/>
    <w:rsid w:val="00993335"/>
    <w:rsid w:val="00993C2E"/>
    <w:rsid w:val="009952EF"/>
    <w:rsid w:val="009E6BB1"/>
    <w:rsid w:val="009E6D91"/>
    <w:rsid w:val="009E773D"/>
    <w:rsid w:val="009F0E33"/>
    <w:rsid w:val="009F296E"/>
    <w:rsid w:val="00A22315"/>
    <w:rsid w:val="00A360A7"/>
    <w:rsid w:val="00A423A2"/>
    <w:rsid w:val="00A60457"/>
    <w:rsid w:val="00A96520"/>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073B"/>
    <w:rsid w:val="00B52E78"/>
    <w:rsid w:val="00B53B47"/>
    <w:rsid w:val="00B54B24"/>
    <w:rsid w:val="00B65062"/>
    <w:rsid w:val="00B75D8F"/>
    <w:rsid w:val="00B9119B"/>
    <w:rsid w:val="00B92266"/>
    <w:rsid w:val="00B96F80"/>
    <w:rsid w:val="00BA7C86"/>
    <w:rsid w:val="00BB4C38"/>
    <w:rsid w:val="00BC3168"/>
    <w:rsid w:val="00C023DE"/>
    <w:rsid w:val="00C12E6B"/>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B7A4C"/>
    <w:rsid w:val="00CD541D"/>
    <w:rsid w:val="00CE016A"/>
    <w:rsid w:val="00CF3F61"/>
    <w:rsid w:val="00D0032E"/>
    <w:rsid w:val="00D02949"/>
    <w:rsid w:val="00D06773"/>
    <w:rsid w:val="00D06CB8"/>
    <w:rsid w:val="00D11079"/>
    <w:rsid w:val="00D11D80"/>
    <w:rsid w:val="00D12A56"/>
    <w:rsid w:val="00D22AE3"/>
    <w:rsid w:val="00D26D18"/>
    <w:rsid w:val="00D42A95"/>
    <w:rsid w:val="00D53F4D"/>
    <w:rsid w:val="00D83361"/>
    <w:rsid w:val="00D86B70"/>
    <w:rsid w:val="00D97A81"/>
    <w:rsid w:val="00DA2F7A"/>
    <w:rsid w:val="00DB01C5"/>
    <w:rsid w:val="00DB5CCD"/>
    <w:rsid w:val="00DC3C42"/>
    <w:rsid w:val="00DD0745"/>
    <w:rsid w:val="00DD0D0B"/>
    <w:rsid w:val="00DE6038"/>
    <w:rsid w:val="00DE6B68"/>
    <w:rsid w:val="00DF7874"/>
    <w:rsid w:val="00E05943"/>
    <w:rsid w:val="00E10321"/>
    <w:rsid w:val="00E10439"/>
    <w:rsid w:val="00E1625C"/>
    <w:rsid w:val="00E21176"/>
    <w:rsid w:val="00E42BB8"/>
    <w:rsid w:val="00E5550E"/>
    <w:rsid w:val="00E73922"/>
    <w:rsid w:val="00E74BC1"/>
    <w:rsid w:val="00EA1A78"/>
    <w:rsid w:val="00EA58F3"/>
    <w:rsid w:val="00EB3204"/>
    <w:rsid w:val="00EE1EDF"/>
    <w:rsid w:val="00EF2D0F"/>
    <w:rsid w:val="00F070F2"/>
    <w:rsid w:val="00F2363A"/>
    <w:rsid w:val="00F3399E"/>
    <w:rsid w:val="00F54462"/>
    <w:rsid w:val="00F559BB"/>
    <w:rsid w:val="00F634BB"/>
    <w:rsid w:val="00F83934"/>
    <w:rsid w:val="00F90EF7"/>
    <w:rsid w:val="00F93D46"/>
    <w:rsid w:val="00FA2F94"/>
    <w:rsid w:val="00FB2A7B"/>
    <w:rsid w:val="00FB4B01"/>
    <w:rsid w:val="00FC45B2"/>
    <w:rsid w:val="00FC6BA6"/>
    <w:rsid w:val="00FD095C"/>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 w:type="character" w:styleId="Hyperlink">
    <w:name w:val="Hyperlink"/>
    <w:basedOn w:val="DefaultParagraphFont"/>
    <w:uiPriority w:val="99"/>
    <w:unhideWhenUsed/>
    <w:rsid w:val="009E6D91"/>
    <w:rPr>
      <w:color w:val="0000FF" w:themeColor="hyperlink"/>
      <w:u w:val="single"/>
    </w:rPr>
  </w:style>
  <w:style w:type="character" w:styleId="UnresolvedMention">
    <w:name w:val="Unresolved Mention"/>
    <w:basedOn w:val="DefaultParagraphFont"/>
    <w:uiPriority w:val="99"/>
    <w:semiHidden/>
    <w:unhideWhenUsed/>
    <w:rsid w:val="009E6D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sf.io/deh4j" TargetMode="External"/><Relationship Id="rId7" Type="http://schemas.openxmlformats.org/officeDocument/2006/relationships/image" Target="media/image1.emf"/><Relationship Id="rId12"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3730</TotalTime>
  <Pages>34</Pages>
  <Words>14449</Words>
  <Characters>82361</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96</cp:revision>
  <dcterms:created xsi:type="dcterms:W3CDTF">2023-02-21T15:27:00Z</dcterms:created>
  <dcterms:modified xsi:type="dcterms:W3CDTF">2025-05-05T08:22:00Z</dcterms:modified>
</cp:coreProperties>
</file>