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60" w:after="80" w:line="240" w:lineRule="auto"/>
      </w:pPr>
      <w:r>
        <w:rPr>
          <w:rFonts w:ascii="Calibri" w:hAnsi="Calibri"/>
          <w:b/>
          <w:i w:val="0"/>
          <w:color w:val="2E74B5"/>
          <w:sz w:val="18"/>
        </w:rPr>
        <w:t>GMCL STAFF QUICK GUIDE</w:t>
      </w:r>
    </w:p>
    <w:p>
      <w:pPr>
        <w:keepNext/>
        <w:spacing w:before="0" w:after="120" w:line="240" w:lineRule="auto"/>
      </w:pPr>
      <w:r>
        <w:rPr>
          <w:rFonts w:ascii="Calibri" w:hAnsi="Calibri"/>
          <w:b/>
          <w:i w:val="0"/>
          <w:color w:val="1F4D78"/>
          <w:sz w:val="56"/>
        </w:rPr>
        <w:t>Ineligible-player work</w:t>
      </w:r>
    </w:p>
    <w:p>
      <w:pPr>
        <w:keepNext w:val="0"/>
        <w:spacing w:before="0" w:after="320" w:line="276" w:lineRule="auto"/>
      </w:pPr>
      <w:r>
        <w:rPr>
          <w:rFonts w:ascii="Calibri" w:hAnsi="Calibri"/>
          <w:b w:val="0"/>
          <w:i w:val="0"/>
          <w:color w:val="66717D"/>
          <w:sz w:val="28"/>
        </w:rPr>
        <w:t>Three routes. One controlled case process.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shd w:fill="E8EEF5"/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Audience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GMCL casework staff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shd w:fill="E8EEF5"/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Raise, import and reconcile safely</w:t>
            </w:r>
          </w:p>
        </w:tc>
      </w:tr>
    </w:tbl>
    <w:p>
      <w:pPr>
        <w:keepNext w:val="0"/>
        <w:spacing w:before="0" w:after="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IMPORTANT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Importing is not the same as raising a case. Google Form imports create reports for review. The tracker applies historical information only. Staff deliberately raise every live case.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1"/>
      </w:pPr>
      <w:r>
        <w:t>Start here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>Sign in to the GMCL admin portal.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On </w:t>
      </w:r>
      <w:r>
        <w:rPr>
          <w:rFonts w:ascii="Calibri" w:hAnsi="Calibri"/>
          <w:b/>
          <w:i w:val="0"/>
          <w:color w:val="20252B"/>
          <w:sz w:val="22"/>
        </w:rPr>
        <w:t>Ineligible-player cases</w:t>
      </w:r>
      <w:r>
        <w:rPr>
          <w:rFonts w:ascii="Calibri" w:hAnsi="Calibri"/>
          <w:b w:val="0"/>
          <w:i w:val="0"/>
          <w:color w:val="20252B"/>
          <w:sz w:val="22"/>
        </w:rPr>
        <w:t>, choose the route that matches your task.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750"/>
        <w:gridCol w:w="4610"/>
      </w:tblGrid>
      <w:tr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What do you need to do?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Choose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Review one report and raise its case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1 - Raise one case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Bring in several Google Form responses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2 - Import Google Form reports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Reconcile the approved historical workbook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3 - Import historical tracker</w:t>
            </w:r>
          </w:p>
        </w:tc>
      </w:tr>
    </w:tbl>
    <w:p>
      <w:pPr>
        <w:pStyle w:val="Heading2"/>
      </w:pPr>
      <w:r>
        <w:t>What 'raise one case manually' means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 w:val="0"/>
          <w:i w:val="0"/>
          <w:color w:val="20252B"/>
          <w:sz w:val="22"/>
        </w:rPr>
        <w:t>An ineligible-player case must start from a private report in the queue. Do not use Add card, ban, fine or points decision to create a blank ineligible-player case.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IF THE REPORT IS MISSING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Complete the current private Google Form, run Route 2, then open the report from the queue.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Route 1 - Raise one case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</w:t>
      </w:r>
      <w:r>
        <w:rPr>
          <w:rFonts w:ascii="Calibri" w:hAnsi="Calibri"/>
          <w:b/>
          <w:i w:val="0"/>
          <w:color w:val="20252B"/>
          <w:sz w:val="22"/>
        </w:rPr>
        <w:t>Route 1 - Raise one case</w:t>
      </w:r>
      <w:r>
        <w:rPr>
          <w:rFonts w:ascii="Calibri" w:hAnsi="Calibri"/>
          <w:b w:val="0"/>
          <w:i w:val="0"/>
          <w:color w:val="20252B"/>
          <w:sz w:val="22"/>
        </w:rPr>
        <w:t xml:space="preserve">, click </w:t>
      </w:r>
      <w:r>
        <w:rPr>
          <w:rFonts w:ascii="Calibri" w:hAnsi="Calibri"/>
          <w:b/>
          <w:i w:val="0"/>
          <w:color w:val="20252B"/>
          <w:sz w:val="22"/>
        </w:rPr>
        <w:t>Open next report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If the button says </w:t>
      </w:r>
      <w:r>
        <w:rPr>
          <w:rFonts w:ascii="Calibri" w:hAnsi="Calibri"/>
          <w:b/>
          <w:i w:val="0"/>
          <w:color w:val="20252B"/>
          <w:sz w:val="22"/>
        </w:rPr>
        <w:t>View reports</w:t>
      </w:r>
      <w:r>
        <w:rPr>
          <w:rFonts w:ascii="Calibri" w:hAnsi="Calibri"/>
          <w:b w:val="0"/>
          <w:i w:val="0"/>
          <w:color w:val="20252B"/>
          <w:sz w:val="22"/>
        </w:rPr>
        <w:t xml:space="preserve">, click it, then click </w:t>
      </w:r>
      <w:r>
        <w:rPr>
          <w:rFonts w:ascii="Calibri" w:hAnsi="Calibri"/>
          <w:b/>
          <w:i w:val="0"/>
          <w:color w:val="20252B"/>
          <w:sz w:val="22"/>
        </w:rPr>
        <w:t>Review report</w:t>
      </w:r>
      <w:r>
        <w:rPr>
          <w:rFonts w:ascii="Calibri" w:hAnsi="Calibri"/>
          <w:b w:val="0"/>
          <w:i w:val="0"/>
          <w:color w:val="20252B"/>
          <w:sz w:val="22"/>
        </w:rPr>
        <w:t xml:space="preserve"> beside the correct entry.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Check </w:t>
      </w:r>
      <w:r>
        <w:rPr>
          <w:rFonts w:ascii="Calibri" w:hAnsi="Calibri"/>
          <w:b/>
          <w:i w:val="0"/>
          <w:color w:val="20252B"/>
          <w:sz w:val="22"/>
        </w:rPr>
        <w:t>Reported details</w:t>
      </w:r>
      <w:r>
        <w:rPr>
          <w:rFonts w:ascii="Calibri" w:hAnsi="Calibri"/>
          <w:b w:val="0"/>
          <w:i w:val="0"/>
          <w:color w:val="20252B"/>
          <w:sz w:val="22"/>
        </w:rPr>
        <w:t xml:space="preserve"> and any evidence.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</w:t>
      </w:r>
      <w:r>
        <w:rPr>
          <w:rFonts w:ascii="Calibri" w:hAnsi="Calibri"/>
          <w:b/>
          <w:i w:val="0"/>
          <w:color w:val="20252B"/>
          <w:sz w:val="22"/>
        </w:rPr>
        <w:t>Raise this case</w:t>
      </w:r>
      <w:r>
        <w:rPr>
          <w:rFonts w:ascii="Calibri" w:hAnsi="Calibri"/>
          <w:b w:val="0"/>
          <w:i w:val="0"/>
          <w:color w:val="20252B"/>
          <w:sz w:val="22"/>
        </w:rPr>
        <w:t>, check Offending team, Reporting club, Fixture date and Player.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If needed, click </w:t>
      </w:r>
      <w:r>
        <w:rPr>
          <w:rFonts w:ascii="Calibri" w:hAnsi="Calibri"/>
          <w:b/>
          <w:i w:val="0"/>
          <w:color w:val="20252B"/>
          <w:sz w:val="22"/>
        </w:rPr>
        <w:t>Review case wording</w:t>
      </w:r>
      <w:r>
        <w:rPr>
          <w:rFonts w:ascii="Calibri" w:hAnsi="Calibri"/>
          <w:b w:val="0"/>
          <w:i w:val="0"/>
          <w:color w:val="20252B"/>
          <w:sz w:val="22"/>
        </w:rPr>
        <w:t xml:space="preserve"> and check the recorded allegation and private investigation context.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Raise case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When Case [reference] is ready appears, click </w:t>
      </w:r>
      <w:r>
        <w:rPr>
          <w:rFonts w:ascii="Calibri" w:hAnsi="Calibri"/>
          <w:b/>
          <w:i w:val="0"/>
          <w:color w:val="20252B"/>
          <w:sz w:val="22"/>
        </w:rPr>
        <w:t>Open case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EXPECTED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An investigation opens. No email is sent and no outcome is decided.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2"/>
      </w:pPr>
      <w:r>
        <w:t>If a new case should not be raised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Existing investigation: </w:t>
      </w:r>
      <w:r>
        <w:rPr>
          <w:rFonts w:ascii="Calibri" w:hAnsi="Calibri"/>
          <w:b w:val="0"/>
          <w:i w:val="0"/>
          <w:color w:val="20252B"/>
          <w:sz w:val="22"/>
        </w:rPr>
        <w:t>click Other outcomes, complete Link to an existing case, then click Link and merge intake.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Duplicate report: </w:t>
      </w:r>
      <w:r>
        <w:rPr>
          <w:rFonts w:ascii="Calibri" w:hAnsi="Calibri"/>
          <w:b w:val="0"/>
          <w:i w:val="0"/>
          <w:color w:val="20252B"/>
          <w:sz w:val="22"/>
        </w:rPr>
        <w:t>complete Resolve without a new case, then click Mark duplicate.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Irrelevant or no action: </w:t>
      </w:r>
      <w:r>
        <w:rPr>
          <w:rFonts w:ascii="Calibri" w:hAnsi="Calibri"/>
          <w:b w:val="0"/>
          <w:i w:val="0"/>
          <w:color w:val="20252B"/>
          <w:sz w:val="22"/>
        </w:rPr>
        <w:t>record the reason, then click Ignore intake.</w:t>
      </w:r>
    </w:p>
    <w:p>
      <w:pPr>
        <w:pStyle w:val="Heading1"/>
      </w:pPr>
      <w:r>
        <w:t>Route 2 - Import Google Form reports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>Make sure the required reports have been completed in the private Google Form.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Route 2, click </w:t>
      </w:r>
      <w:r>
        <w:rPr>
          <w:rFonts w:ascii="Calibri" w:hAnsi="Calibri"/>
          <w:b/>
          <w:i w:val="0"/>
          <w:color w:val="20252B"/>
          <w:sz w:val="22"/>
        </w:rPr>
        <w:t>Import Google Form reports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>Wait for the confirmation showing how many responses were seen, added, changed or returned errors.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Review report</w:t>
      </w:r>
      <w:r>
        <w:rPr>
          <w:rFonts w:ascii="Calibri" w:hAnsi="Calibri"/>
          <w:b w:val="0"/>
          <w:i w:val="0"/>
          <w:color w:val="20252B"/>
          <w:sz w:val="22"/>
        </w:rPr>
        <w:t xml:space="preserve"> beside the first imported report.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>Follow Route 1 from the Reported details check, then return to the queue and repeat.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EXPECTED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Several reports enter the queue together, but staff still raise, link or resolve each report individually.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Route 3 - Import the historical tracker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USE ONLY THE APPROVED WORKBOOK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The file must be .xlsx, no larger than 16 MB, with the Form responses 1 sheet and expected columns A to Z.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2"/>
      </w:pPr>
      <w:r>
        <w:t>Step 1 - Upload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Route 3, click </w:t>
      </w:r>
      <w:r>
        <w:rPr>
          <w:rFonts w:ascii="Calibri" w:hAnsi="Calibri"/>
          <w:b/>
          <w:i w:val="0"/>
          <w:color w:val="20252B"/>
          <w:sz w:val="22"/>
        </w:rPr>
        <w:t>Open tracker import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Step 1, click </w:t>
      </w:r>
      <w:r>
        <w:rPr>
          <w:rFonts w:ascii="Calibri" w:hAnsi="Calibri"/>
          <w:b/>
          <w:i w:val="0"/>
          <w:color w:val="20252B"/>
          <w:sz w:val="22"/>
        </w:rPr>
        <w:t>Tracker (.xlsx, max 16 MB)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Select the approved workbook.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Upload tracker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/>
          <w:i w:val="0"/>
          <w:color w:val="20252B"/>
          <w:sz w:val="22"/>
        </w:rPr>
        <w:t>The system opens</w:t>
      </w:r>
      <w:r>
        <w:rPr>
          <w:rFonts w:ascii="Calibri" w:hAnsi="Calibri"/>
          <w:b w:val="0"/>
          <w:i w:val="0"/>
          <w:color w:val="20252B"/>
          <w:sz w:val="22"/>
        </w:rPr>
        <w:t xml:space="preserve"> Import check #[number].</w:t>
      </w:r>
    </w:p>
    <w:p>
      <w:pPr>
        <w:pStyle w:val="Heading2"/>
      </w:pPr>
      <w:r>
        <w:t>Step 2 - Check every row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Leave </w:t>
      </w:r>
      <w:r>
        <w:rPr>
          <w:rFonts w:ascii="Calibri" w:hAnsi="Calibri"/>
          <w:b/>
          <w:i w:val="0"/>
          <w:color w:val="20252B"/>
          <w:sz w:val="22"/>
        </w:rPr>
        <w:t>Needs checking</w:t>
      </w:r>
      <w:r>
        <w:rPr>
          <w:rFonts w:ascii="Calibri" w:hAnsi="Calibri"/>
          <w:b w:val="0"/>
          <w:i w:val="0"/>
          <w:color w:val="20252B"/>
          <w:sz w:val="22"/>
        </w:rPr>
        <w:t xml:space="preserve"> selected.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Review the totals for </w:t>
      </w:r>
      <w:r>
        <w:rPr>
          <w:rFonts w:ascii="Calibri" w:hAnsi="Calibri"/>
          <w:b/>
          <w:i w:val="0"/>
          <w:color w:val="20252B"/>
          <w:sz w:val="22"/>
        </w:rPr>
        <w:t>Needs checking</w:t>
      </w:r>
      <w:r>
        <w:rPr>
          <w:rFonts w:ascii="Calibri" w:hAnsi="Calibri"/>
          <w:b w:val="0"/>
          <w:i w:val="0"/>
          <w:color w:val="20252B"/>
          <w:sz w:val="22"/>
        </w:rPr>
        <w:t>, Suggested matches and Needs help.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>Check the player, club, team, suggested Google intake and historical state on each row.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For a correct straightforward suggestion, click </w:t>
      </w:r>
      <w:r>
        <w:rPr>
          <w:rFonts w:ascii="Calibri" w:hAnsi="Calibri"/>
          <w:b/>
          <w:i w:val="0"/>
          <w:color w:val="20252B"/>
          <w:sz w:val="22"/>
        </w:rPr>
        <w:t>Confirm suggested match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Repeat until every straightforward row has moved to </w:t>
      </w:r>
      <w:r>
        <w:rPr>
          <w:rFonts w:ascii="Calibri" w:hAnsi="Calibri"/>
          <w:b/>
          <w:i w:val="0"/>
          <w:color w:val="20252B"/>
          <w:sz w:val="22"/>
        </w:rPr>
        <w:t>Verified history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pStyle w:val="Heading2"/>
      </w:pPr>
      <w:r>
        <w:t>When a row needs the full review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 w:val="0"/>
          <w:i w:val="0"/>
          <w:color w:val="20252B"/>
          <w:sz w:val="22"/>
        </w:rPr>
        <w:t>If Confirm suggested match is not shown: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>Check Reconciliation and the Google intake ID.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>Choose the Historical case state.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>Complete the Points/cards review if it appears.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>Record the review reason and reviewer.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Verify row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DO NOT GUESS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Ask the casework lead to review ambiguous matches or points/cards wording.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Finish the tracker import</w:t>
      </w:r>
    </w:p>
    <w:p>
      <w:pPr>
        <w:pStyle w:val="Heading2"/>
      </w:pPr>
      <w:r>
        <w:t>Step 3 - Sign off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When Needs checking reaches zero, find </w:t>
      </w:r>
      <w:r>
        <w:rPr>
          <w:rFonts w:ascii="Calibri" w:hAnsi="Calibri"/>
          <w:b/>
          <w:i w:val="0"/>
          <w:color w:val="20252B"/>
          <w:sz w:val="22"/>
        </w:rPr>
        <w:t>Step 3 - Sign off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Check Your name and read the confirmation statement.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Tick Save my name and confirmation in the audit history.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Sign off import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pStyle w:val="Heading2"/>
      </w:pPr>
      <w:r>
        <w:t>Step 4 - Apply history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>Review the application summary and Application note.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>Tick the one-time application confirmation.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Apply signed-off history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TRACKER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Signed-off private history and reviewed open/closed status are applied once. Unmatched or excluded rows remain untouched.</w:t>
            </w:r>
          </w:p>
        </w:tc>
      </w:tr>
    </w:tbl>
    <w:p>
      <w:pPr>
        <w:keepNext w:val="0"/>
        <w:spacing w:before="0" w:after="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WHAT THE TRACKER CANNOT DO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It cannot create a case, decision, sanction, points/cards entry, task, correspondence or email.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1"/>
      </w:pPr>
      <w:r>
        <w:t>After a live case is raised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Open the case and check the evidence and published rule.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Save the initial email and reminder, then send the initial email when ready.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Review the club response and any new evidence.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Prepare the decision and submit it for approval.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A different authorised administrator checks and approves it.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After final previews, issue the approved outcomes.</w:t>
      </w:r>
    </w:p>
    <w:p>
      <w:pPr>
        <w:pStyle w:val="Heading2"/>
      </w:pPr>
      <w:r>
        <w:t>Three safety checks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Raising a case does not send an email.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A decision requires approval by a different authorised administrator.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Outcomes are not sent until Issue approved outcomes is selected.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/>
        <w:b w:val="0"/>
        <w:i w:val="0"/>
        <w:color w:val="66717D"/>
        <w:sz w:val="16"/>
      </w:rPr>
      <w:t xml:space="preserve">GMCL quick guide  |  August 2026  |  Page </w:t>
    </w:r>
    <w:r>
      <w:rPr>
        <w:rFonts w:ascii="Calibri" w:hAnsi="Calibri"/>
        <w:b w:val="0"/>
        <w:i w:val="0"/>
        <w:color w:val="66717D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1250"/>
      <w:gridCol w:w="8110"/>
    </w:tblGrid>
    <w:tr>
      <w:tc>
        <w:tcPr>
          <w:tcW w:type="dxa" w:w="125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bottom w:val="single" w:sz="6" w:color="D7DBE2"/>
          </w:tcBorders>
        </w:tcPr>
        <w:p>
          <w:pPr>
            <w:keepNext w:val="0"/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566928" cy="14624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mc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928" cy="14624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1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bottom w:val="single" w:sz="6" w:color="D7DBE2"/>
          </w:tcBorders>
        </w:tcPr>
        <w:p>
          <w:pPr>
            <w:keepNext w:val="0"/>
            <w:spacing w:before="0" w:after="0" w:line="240" w:lineRule="auto"/>
            <w:jc w:val="right"/>
          </w:pPr>
          <w:r>
            <w:rPr>
              <w:rFonts w:ascii="Calibri" w:hAnsi="Calibri"/>
              <w:b/>
              <w:i w:val="0"/>
              <w:color w:val="66717D"/>
              <w:sz w:val="16"/>
            </w:rPr>
            <w:t>GMCL  |  INELIGIBLE-PLAYER WORK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before="0" w:after="80" w:line="300" w:lineRule="auto"/>
      </w:pPr>
      <w:rPr>
        <w:rFonts w:ascii="Calibri" w:hAnsi="Calibri"/>
        <w:color w:val="2E74B5"/>
      </w:rPr>
    </w:lvl>
  </w:abstractNum>
  <w:abstractNum w:abstractNumId="9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before="0" w:after="80" w:line="300" w:lineRule="auto"/>
      </w:pPr>
      <w:rPr>
        <w:rFonts w:ascii="Calibri" w:hAnsi="Calibri"/>
        <w:color w:val="2E74B5"/>
      </w:rPr>
    </w:lvl>
  </w:abstractNum>
  <w:num w:numId="201">
    <w:abstractNumId w:val="90"/>
    <w:lvlOverride w:ilvl="0">
      <w:startOverride w:val="1"/>
    </w:lvlOverride>
  </w:num>
  <w:num w:numId="202">
    <w:abstractNumId w:val="90"/>
    <w:lvlOverride w:ilvl="0">
      <w:startOverride w:val="1"/>
    </w:lvlOverride>
  </w:num>
  <w:num w:numId="203">
    <w:abstractNumId w:val="91"/>
    <w:lvlOverride w:ilvl="0">
      <w:startOverride w:val="1"/>
    </w:lvlOverride>
  </w:num>
  <w:num w:numId="204">
    <w:abstractNumId w:val="90"/>
    <w:lvlOverride w:ilvl="0">
      <w:startOverride w:val="1"/>
    </w:lvlOverride>
  </w:num>
  <w:num w:numId="205">
    <w:abstractNumId w:val="90"/>
    <w:lvlOverride w:ilvl="0">
      <w:startOverride w:val="1"/>
    </w:lvlOverride>
  </w:num>
  <w:num w:numId="206">
    <w:abstractNumId w:val="90"/>
    <w:lvlOverride w:ilvl="0">
      <w:startOverride w:val="1"/>
    </w:lvlOverride>
  </w:num>
  <w:num w:numId="207">
    <w:abstractNumId w:val="90"/>
    <w:lvlOverride w:ilvl="0">
      <w:startOverride w:val="1"/>
    </w:lvlOverride>
  </w:num>
  <w:num w:numId="208">
    <w:abstractNumId w:val="90"/>
    <w:lvlOverride w:ilvl="0">
      <w:startOverride w:val="1"/>
    </w:lvlOverride>
  </w:num>
  <w:num w:numId="209">
    <w:abstractNumId w:val="90"/>
    <w:lvlOverride w:ilvl="0">
      <w:startOverride w:val="1"/>
    </w:lvlOverride>
  </w:num>
  <w:num w:numId="210">
    <w:abstractNumId w:val="90"/>
    <w:lvlOverride w:ilvl="0">
      <w:startOverride w:val="1"/>
    </w:lvlOverride>
  </w:num>
  <w:num w:numId="211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GMCL Ineligible-player Work - Quick Guide</dc:title>
  <dc:subject>Click-by-click staff guide for live reports, Google Form imports and tracker reconciliation</dc:subject>
  <dc:creator>Greater Manchester Cricket League</dc:creator>
  <cp:keywords>GMCL, ineligible player, quick guide, Google Form, tracker</cp:keywords>
  <dc:description>compact_reference_guide preset; customer_pack header pattern; August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