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80" w:line="240" w:lineRule="auto"/>
      </w:pPr>
      <w:r>
        <w:rPr>
          <w:rFonts w:ascii="Calibri" w:hAnsi="Calibri"/>
          <w:b/>
          <w:i w:val="0"/>
          <w:color w:val="2E74B5"/>
          <w:sz w:val="18"/>
        </w:rPr>
        <w:t>GMCL STAFF QUICK GUIDE</w:t>
      </w:r>
    </w:p>
    <w:p>
      <w:pPr>
        <w:keepNext/>
        <w:spacing w:before="0" w:after="120" w:line="240" w:lineRule="auto"/>
      </w:pPr>
      <w:r>
        <w:rPr>
          <w:rFonts w:ascii="Calibri" w:hAnsi="Calibri"/>
          <w:b/>
          <w:i w:val="0"/>
          <w:color w:val="1F4D78"/>
          <w:sz w:val="56"/>
        </w:rPr>
        <w:t>Ineligible-player work</w:t>
      </w:r>
    </w:p>
    <w:p>
      <w:pPr>
        <w:keepNext w:val="0"/>
        <w:spacing w:before="0" w:after="320" w:line="276" w:lineRule="auto"/>
      </w:pPr>
      <w:r>
        <w:rPr>
          <w:rFonts w:ascii="Calibri" w:hAnsi="Calibri"/>
          <w:b w:val="0"/>
          <w:i w:val="0"/>
          <w:color w:val="66717D"/>
          <w:sz w:val="28"/>
        </w:rPr>
        <w:t>Three routes. One controlled case process.</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tcBorders>
              <w:top w:val="single" w:sz="6" w:color="D7DBE2"/>
              <w:left w:val="single" w:sz="6" w:color="D7DBE2"/>
              <w:bottom w:val="single" w:sz="6" w:color="D7DBE2"/>
              <w:right w:val="single" w:sz="6" w:color="D7DBE2"/>
            </w:tcBorders>
            <w:shd w:fill="E8EEF5"/>
          </w:tcPr>
          <w:p>
            <w:pPr>
              <w:keepNext w:val="0"/>
              <w:spacing w:before="0" w:after="0" w:line="300" w:lineRule="auto"/>
            </w:pPr>
            <w:r>
              <w:rPr>
                <w:rFonts w:ascii="Calibri" w:hAnsi="Calibri"/>
                <w:b/>
                <w:i w:val="0"/>
                <w:color w:val="1F4D78"/>
                <w:sz w:val="20"/>
              </w:rPr>
              <w:t>Audience</w:t>
            </w:r>
          </w:p>
        </w:tc>
        <w:tc>
          <w:tcPr>
            <w:tcW w:type="dxa" w:w="6660"/>
            <w:tcMar>
              <w:top w:w="80" w:type="dxa"/>
              <w:start w:w="120" w:type="dxa"/>
              <w:bottom w:w="80" w:type="dxa"/>
              <w:end w:w="120" w:type="dxa"/>
            </w:tcMar>
            <w:vAlign w:val="center"/>
            <w:tcBorders>
              <w:top w:val="single" w:sz="6" w:color="D7DBE2"/>
              <w:left w:val="single" w:sz="6" w:color="D7DBE2"/>
              <w:bottom w:val="single" w:sz="6" w:color="D7DBE2"/>
              <w:right w:val="single" w:sz="6" w:color="D7DBE2"/>
            </w:tcBorders>
          </w:tcPr>
          <w:p>
            <w:pPr>
              <w:keepNext w:val="0"/>
              <w:spacing w:before="0" w:after="0" w:line="300" w:lineRule="auto"/>
            </w:pPr>
            <w:r>
              <w:rPr>
                <w:rFonts w:ascii="Calibri" w:hAnsi="Calibri"/>
                <w:b w:val="0"/>
                <w:i w:val="0"/>
                <w:color w:val="20252B"/>
                <w:sz w:val="20"/>
              </w:rPr>
              <w:t>GMCL casework staff</w:t>
            </w:r>
          </w:p>
        </w:tc>
      </w:tr>
      <w:tr>
        <w:tc>
          <w:tcPr>
            <w:tcW w:type="dxa" w:w="2700"/>
            <w:tcMar>
              <w:top w:w="80" w:type="dxa"/>
              <w:start w:w="120" w:type="dxa"/>
              <w:bottom w:w="80" w:type="dxa"/>
              <w:end w:w="120" w:type="dxa"/>
            </w:tcMar>
            <w:vAlign w:val="center"/>
            <w:tcBorders>
              <w:top w:val="single" w:sz="6" w:color="D7DBE2"/>
              <w:left w:val="single" w:sz="6" w:color="D7DBE2"/>
              <w:bottom w:val="single" w:sz="6" w:color="D7DBE2"/>
              <w:right w:val="single" w:sz="6" w:color="D7DBE2"/>
            </w:tcBorders>
            <w:shd w:fill="E8EEF5"/>
          </w:tcPr>
          <w:p>
            <w:pPr>
              <w:keepNext w:val="0"/>
              <w:spacing w:before="0" w:after="0" w:line="300" w:lineRule="auto"/>
            </w:pPr>
            <w:r>
              <w:rPr>
                <w:rFonts w:ascii="Calibri" w:hAnsi="Calibri"/>
                <w:b/>
                <w:i w:val="0"/>
                <w:color w:val="1F4D78"/>
                <w:sz w:val="20"/>
              </w:rPr>
              <w:t>Purpose</w:t>
            </w:r>
          </w:p>
        </w:tc>
        <w:tc>
          <w:tcPr>
            <w:tcW w:type="dxa" w:w="6660"/>
            <w:tcMar>
              <w:top w:w="80" w:type="dxa"/>
              <w:start w:w="120" w:type="dxa"/>
              <w:bottom w:w="80" w:type="dxa"/>
              <w:end w:w="120" w:type="dxa"/>
            </w:tcMar>
            <w:vAlign w:val="center"/>
            <w:tcBorders>
              <w:top w:val="single" w:sz="6" w:color="D7DBE2"/>
              <w:left w:val="single" w:sz="6" w:color="D7DBE2"/>
              <w:bottom w:val="single" w:sz="6" w:color="D7DBE2"/>
              <w:right w:val="single" w:sz="6" w:color="D7DBE2"/>
            </w:tcBorders>
          </w:tcPr>
          <w:p>
            <w:pPr>
              <w:keepNext w:val="0"/>
              <w:spacing w:before="0" w:after="0" w:line="300" w:lineRule="auto"/>
            </w:pPr>
            <w:r>
              <w:rPr>
                <w:rFonts w:ascii="Calibri" w:hAnsi="Calibri"/>
                <w:b w:val="0"/>
                <w:i w:val="0"/>
                <w:color w:val="20252B"/>
                <w:sz w:val="20"/>
              </w:rPr>
              <w:t>Raise, import and reconcile safely</w:t>
            </w:r>
          </w:p>
        </w:tc>
      </w:tr>
    </w:tbl>
    <w:p>
      <w:pPr>
        <w:keepNext w:val="0"/>
        <w:spacing w:before="0" w:after="0" w:line="24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left w:val="single" w:sz="18" w:color="A66B00"/>
            </w:tcBorders>
          </w:tcPr>
          <w:p>
            <w:pPr>
              <w:keepNext w:val="0"/>
              <w:spacing w:before="0" w:after="0" w:line="300" w:lineRule="auto"/>
            </w:pPr>
            <w:r>
              <w:rPr>
                <w:rFonts w:ascii="Calibri" w:hAnsi="Calibri"/>
                <w:b/>
                <w:i w:val="0"/>
                <w:color w:val="A66B00"/>
                <w:sz w:val="18"/>
              </w:rPr>
              <w:t xml:space="preserve">IMPORTANT  </w:t>
            </w:r>
            <w:r>
              <w:rPr>
                <w:rFonts w:ascii="Calibri" w:hAnsi="Calibri"/>
                <w:b w:val="0"/>
                <w:i w:val="0"/>
                <w:color w:val="20252B"/>
                <w:sz w:val="22"/>
              </w:rPr>
              <w:t>Importing is not the same as raising a case. The Google Form import brings reports in for staff to choose and review. The tracker applies historical information only. Staff deliberately raise every live case.</w:t>
            </w:r>
          </w:p>
        </w:tc>
      </w:tr>
    </w:tbl>
    <w:p>
      <w:pPr>
        <w:keepNext w:val="0"/>
        <w:spacing w:before="0" w:after="0" w:line="240" w:lineRule="auto"/>
      </w:pPr>
    </w:p>
    <w:p>
      <w:pPr>
        <w:pStyle w:val="Heading1"/>
      </w:pPr>
      <w:r>
        <w:t>Start here</w:t>
      </w:r>
    </w:p>
    <w:p>
      <w:pPr>
        <w:keepNext w:val="0"/>
        <w:spacing w:before="0" w:after="80" w:line="300" w:lineRule="auto"/>
        <w:numPr>
          <w:ilvl w:val="0"/>
          <w:numId w:val="201"/>
        </w:numPr>
      </w:pPr>
      <w:r>
        <w:rPr>
          <w:rFonts w:ascii="Calibri" w:hAnsi="Calibri"/>
          <w:b w:val="0"/>
          <w:i w:val="0"/>
          <w:color w:val="20252B"/>
          <w:sz w:val="22"/>
        </w:rPr>
        <w:t>Sign in to the GMCL admin portal.</w:t>
      </w:r>
    </w:p>
    <w:p>
      <w:pPr>
        <w:keepNext w:val="0"/>
        <w:spacing w:before="0" w:after="80" w:line="300" w:lineRule="auto"/>
        <w:numPr>
          <w:ilvl w:val="0"/>
          <w:numId w:val="201"/>
        </w:numPr>
      </w:pPr>
      <w:r>
        <w:rPr>
          <w:rFonts w:ascii="Calibri" w:hAnsi="Calibri"/>
          <w:b w:val="0"/>
          <w:i w:val="0"/>
          <w:color w:val="20252B"/>
          <w:sz w:val="22"/>
        </w:rPr>
        <w:t xml:space="preserve">Click </w:t>
      </w:r>
      <w:r>
        <w:rPr>
          <w:rFonts w:ascii="Calibri" w:hAnsi="Calibri"/>
          <w:b/>
          <w:i w:val="0"/>
          <w:color w:val="20252B"/>
          <w:sz w:val="22"/>
        </w:rPr>
        <w:t>Sanctions</w:t>
      </w:r>
      <w:r>
        <w:rPr>
          <w:rFonts w:ascii="Calibri" w:hAnsi="Calibri"/>
          <w:b w:val="0"/>
          <w:i w:val="0"/>
          <w:color w:val="20252B"/>
          <w:sz w:val="22"/>
        </w:rPr>
        <w:t>.</w:t>
      </w:r>
    </w:p>
    <w:p>
      <w:pPr>
        <w:keepNext w:val="0"/>
        <w:spacing w:before="0" w:after="80" w:line="300" w:lineRule="auto"/>
        <w:numPr>
          <w:ilvl w:val="0"/>
          <w:numId w:val="201"/>
        </w:numPr>
      </w:pPr>
      <w:r>
        <w:rPr>
          <w:rFonts w:ascii="Calibri" w:hAnsi="Calibri"/>
          <w:b w:val="0"/>
          <w:i w:val="0"/>
          <w:color w:val="20252B"/>
          <w:sz w:val="22"/>
        </w:rPr>
        <w:t xml:space="preserve">Click </w:t>
      </w:r>
      <w:r>
        <w:rPr>
          <w:rFonts w:ascii="Calibri" w:hAnsi="Calibri"/>
          <w:b/>
          <w:i w:val="0"/>
          <w:color w:val="20252B"/>
          <w:sz w:val="22"/>
        </w:rPr>
        <w:t>Ineligible-player work</w:t>
      </w:r>
      <w:r>
        <w:rPr>
          <w:rFonts w:ascii="Calibri" w:hAnsi="Calibri"/>
          <w:b w:val="0"/>
          <w:i w:val="0"/>
          <w:color w:val="20252B"/>
          <w:sz w:val="22"/>
        </w:rPr>
        <w:t>.</w:t>
      </w:r>
    </w:p>
    <w:p>
      <w:pPr>
        <w:keepNext w:val="0"/>
        <w:spacing w:before="0" w:after="80" w:line="300" w:lineRule="auto"/>
        <w:numPr>
          <w:ilvl w:val="0"/>
          <w:numId w:val="201"/>
        </w:numPr>
      </w:pPr>
      <w:r>
        <w:rPr>
          <w:rFonts w:ascii="Calibri" w:hAnsi="Calibri"/>
          <w:b w:val="0"/>
          <w:i w:val="0"/>
          <w:color w:val="20252B"/>
          <w:sz w:val="22"/>
        </w:rPr>
        <w:t xml:space="preserve">On </w:t>
      </w:r>
      <w:r>
        <w:rPr>
          <w:rFonts w:ascii="Calibri" w:hAnsi="Calibri"/>
          <w:b/>
          <w:i w:val="0"/>
          <w:color w:val="20252B"/>
          <w:sz w:val="22"/>
        </w:rPr>
        <w:t>Ineligible-player cases</w:t>
      </w:r>
      <w:r>
        <w:rPr>
          <w:rFonts w:ascii="Calibri" w:hAnsi="Calibri"/>
          <w:b w:val="0"/>
          <w:i w:val="0"/>
          <w:color w:val="20252B"/>
          <w:sz w:val="22"/>
        </w:rPr>
        <w:t>, choose the route that matches your task.</w:t>
      </w:r>
    </w:p>
    <w:tbl>
      <w:tblPr>
        <w:tblW w:type="dxa" w:w="9360"/>
        <w:tblLayout w:type="fixed"/>
        <w:tblLook w:firstColumn="1" w:firstRow="1" w:lastColumn="0" w:lastRow="0" w:noHBand="0" w:noVBand="1" w:val="04A0"/>
        <w:jc w:val="left"/>
        <w:tblInd w:w="120" w:type="dxa"/>
      </w:tblPr>
      <w:tblGrid>
        <w:gridCol w:w="4750"/>
        <w:gridCol w:w="4610"/>
      </w:tblGrid>
      <w:tr>
        <w:tc>
          <w:tcPr>
            <w:tcW w:type="dxa" w:w="4750"/>
            <w:tcMar>
              <w:top w:w="80" w:type="dxa"/>
              <w:start w:w="120" w:type="dxa"/>
              <w:bottom w:w="80" w:type="dxa"/>
              <w:end w:w="120" w:type="dxa"/>
            </w:tcMar>
            <w:vAlign w:val="center"/>
            <w:shd w:fill="E8EEF5"/>
            <w:tcBorders>
              <w:top w:val="single" w:sz="6" w:color="D7DBE2"/>
              <w:left w:val="single" w:sz="6" w:color="D7DBE2"/>
              <w:bottom w:val="single" w:sz="6" w:color="D7DBE2"/>
              <w:right w:val="single" w:sz="6" w:color="D7DBE2"/>
            </w:tcBorders>
          </w:tcPr>
          <w:p>
            <w:pPr>
              <w:keepNext w:val="0"/>
              <w:spacing w:before="0" w:after="0" w:line="240" w:lineRule="auto"/>
            </w:pPr>
            <w:r>
              <w:rPr>
                <w:rFonts w:ascii="Calibri" w:hAnsi="Calibri"/>
                <w:b/>
                <w:i w:val="0"/>
                <w:color w:val="1F4D78"/>
                <w:sz w:val="20"/>
              </w:rPr>
              <w:t>What do you need to do?</w:t>
            </w:r>
          </w:p>
        </w:tc>
        <w:tc>
          <w:tcPr>
            <w:tcW w:type="dxa" w:w="4610"/>
            <w:tcMar>
              <w:top w:w="80" w:type="dxa"/>
              <w:start w:w="120" w:type="dxa"/>
              <w:bottom w:w="80" w:type="dxa"/>
              <w:end w:w="120" w:type="dxa"/>
            </w:tcMar>
            <w:vAlign w:val="center"/>
            <w:shd w:fill="E8EEF5"/>
            <w:tcBorders>
              <w:top w:val="single" w:sz="6" w:color="D7DBE2"/>
              <w:left w:val="single" w:sz="6" w:color="D7DBE2"/>
              <w:bottom w:val="single" w:sz="6" w:color="D7DBE2"/>
              <w:right w:val="single" w:sz="6" w:color="D7DBE2"/>
            </w:tcBorders>
          </w:tcPr>
          <w:p>
            <w:pPr>
              <w:keepNext w:val="0"/>
              <w:spacing w:before="0" w:after="0" w:line="240" w:lineRule="auto"/>
            </w:pPr>
            <w:r>
              <w:rPr>
                <w:rFonts w:ascii="Calibri" w:hAnsi="Calibri"/>
                <w:b/>
                <w:i w:val="0"/>
                <w:color w:val="1F4D78"/>
                <w:sz w:val="20"/>
              </w:rPr>
              <w:t>Choose</w:t>
            </w:r>
          </w:p>
        </w:tc>
      </w:tr>
      <w:tr>
        <w:tc>
          <w:tcPr>
            <w:tcW w:type="dxa" w:w="475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val="0"/>
                <w:i w:val="0"/>
                <w:color w:val="20252B"/>
                <w:sz w:val="20"/>
              </w:rPr>
              <w:t>Review one report and raise its case</w:t>
            </w:r>
          </w:p>
        </w:tc>
        <w:tc>
          <w:tcPr>
            <w:tcW w:type="dxa" w:w="461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i w:val="0"/>
                <w:color w:val="20252B"/>
                <w:sz w:val="20"/>
              </w:rPr>
              <w:t>Route 1 - Raise one case</w:t>
            </w:r>
          </w:p>
        </w:tc>
      </w:tr>
      <w:tr>
        <w:tc>
          <w:tcPr>
            <w:tcW w:type="dxa" w:w="475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val="0"/>
                <w:i w:val="0"/>
                <w:color w:val="20252B"/>
                <w:sz w:val="20"/>
              </w:rPr>
              <w:t>Import reports and choose which to progress</w:t>
            </w:r>
          </w:p>
        </w:tc>
        <w:tc>
          <w:tcPr>
            <w:tcW w:type="dxa" w:w="461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i w:val="0"/>
                <w:color w:val="20252B"/>
                <w:sz w:val="20"/>
              </w:rPr>
              <w:t>Route 2 - Import and choose reports</w:t>
            </w:r>
          </w:p>
        </w:tc>
      </w:tr>
      <w:tr>
        <w:tc>
          <w:tcPr>
            <w:tcW w:type="dxa" w:w="475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val="0"/>
                <w:i w:val="0"/>
                <w:color w:val="20252B"/>
                <w:sz w:val="20"/>
              </w:rPr>
              <w:t>Reconcile the approved historical workbook</w:t>
            </w:r>
          </w:p>
        </w:tc>
        <w:tc>
          <w:tcPr>
            <w:tcW w:type="dxa" w:w="461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i w:val="0"/>
                <w:color w:val="20252B"/>
                <w:sz w:val="20"/>
              </w:rPr>
              <w:t>Route 3 - Import historical tracker</w:t>
            </w:r>
          </w:p>
        </w:tc>
      </w:tr>
    </w:tbl>
    <w:p>
      <w:pPr>
        <w:pStyle w:val="Heading2"/>
      </w:pPr>
      <w:r>
        <w:t>What 'raise one case manually' means</w:t>
      </w:r>
    </w:p>
    <w:p>
      <w:pPr>
        <w:keepNext w:val="0"/>
        <w:spacing w:before="0" w:after="120" w:line="300" w:lineRule="auto"/>
      </w:pPr>
      <w:r>
        <w:rPr>
          <w:rFonts w:ascii="Calibri" w:hAnsi="Calibri"/>
          <w:b w:val="0"/>
          <w:i w:val="0"/>
          <w:color w:val="20252B"/>
          <w:sz w:val="22"/>
        </w:rPr>
        <w:t>An ineligible-player case must start from a private report in the queue. Do not use Add card, ban, fine or points decision to create a blank ineligible-player case.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left w:val="single" w:sz="18" w:color="2E74B5"/>
            </w:tcBorders>
          </w:tcPr>
          <w:p>
            <w:pPr>
              <w:keepNext w:val="0"/>
              <w:spacing w:before="0" w:after="0" w:line="300" w:lineRule="auto"/>
            </w:pPr>
            <w:r>
              <w:rPr>
                <w:rFonts w:ascii="Calibri" w:hAnsi="Calibri"/>
                <w:b/>
                <w:i w:val="0"/>
                <w:color w:val="2E74B5"/>
                <w:sz w:val="18"/>
              </w:rPr>
              <w:t xml:space="preserve">IF THE REPORT IS MISSING  </w:t>
            </w:r>
            <w:r>
              <w:rPr>
                <w:rFonts w:ascii="Calibri" w:hAnsi="Calibri"/>
                <w:b w:val="0"/>
                <w:i w:val="0"/>
                <w:color w:val="20252B"/>
                <w:sz w:val="22"/>
              </w:rPr>
              <w:t>Complete the current private Google Form, run Route 2, then open the report from the queue.</w:t>
            </w:r>
          </w:p>
        </w:tc>
      </w:tr>
    </w:tbl>
    <w:p>
      <w:pPr>
        <w:keepNext w:val="0"/>
        <w:spacing w:before="0" w:after="0" w:line="240" w:lineRule="auto"/>
      </w:pPr>
    </w:p>
    <w:p>
      <w:r>
        <w:br w:type="page"/>
      </w:r>
    </w:p>
    <w:p>
      <w:pPr>
        <w:pStyle w:val="Heading1"/>
      </w:pPr>
      <w:r>
        <w:t>Route 1 - Raise one case</w:t>
      </w:r>
    </w:p>
    <w:p>
      <w:pPr>
        <w:keepNext w:val="0"/>
        <w:spacing w:before="0" w:after="80" w:line="300" w:lineRule="auto"/>
        <w:numPr>
          <w:ilvl w:val="0"/>
          <w:numId w:val="202"/>
        </w:numPr>
      </w:pPr>
      <w:r>
        <w:rPr>
          <w:rFonts w:ascii="Calibri" w:hAnsi="Calibri"/>
          <w:b w:val="0"/>
          <w:i w:val="0"/>
          <w:color w:val="20252B"/>
          <w:sz w:val="22"/>
        </w:rPr>
        <w:t xml:space="preserve">Click </w:t>
      </w:r>
      <w:r>
        <w:rPr>
          <w:rFonts w:ascii="Calibri" w:hAnsi="Calibri"/>
          <w:b/>
          <w:i w:val="0"/>
          <w:color w:val="20252B"/>
          <w:sz w:val="22"/>
        </w:rPr>
        <w:t>Sanctions</w:t>
      </w:r>
      <w:r>
        <w:rPr>
          <w:rFonts w:ascii="Calibri" w:hAnsi="Calibri"/>
          <w:b w:val="0"/>
          <w:i w:val="0"/>
          <w:color w:val="20252B"/>
          <w:sz w:val="22"/>
        </w:rPr>
        <w:t xml:space="preserve">, then </w:t>
      </w:r>
      <w:r>
        <w:rPr>
          <w:rFonts w:ascii="Calibri" w:hAnsi="Calibri"/>
          <w:b/>
          <w:i w:val="0"/>
          <w:color w:val="20252B"/>
          <w:sz w:val="22"/>
        </w:rPr>
        <w:t>Ineligible-player work</w:t>
      </w:r>
      <w:r>
        <w:rPr>
          <w:rFonts w:ascii="Calibri" w:hAnsi="Calibri"/>
          <w:b w:val="0"/>
          <w:i w:val="0"/>
          <w:color w:val="20252B"/>
          <w:sz w:val="22"/>
        </w:rPr>
        <w:t>.</w:t>
      </w:r>
    </w:p>
    <w:p>
      <w:pPr>
        <w:keepNext w:val="0"/>
        <w:spacing w:before="0" w:after="80" w:line="300" w:lineRule="auto"/>
        <w:numPr>
          <w:ilvl w:val="0"/>
          <w:numId w:val="202"/>
        </w:numPr>
      </w:pPr>
      <w:r>
        <w:rPr>
          <w:rFonts w:ascii="Calibri" w:hAnsi="Calibri"/>
          <w:b w:val="0"/>
          <w:i w:val="0"/>
          <w:color w:val="20252B"/>
          <w:sz w:val="22"/>
        </w:rPr>
        <w:t xml:space="preserve">Under </w:t>
      </w:r>
      <w:r>
        <w:rPr>
          <w:rFonts w:ascii="Calibri" w:hAnsi="Calibri"/>
          <w:b/>
          <w:i w:val="0"/>
          <w:color w:val="20252B"/>
          <w:sz w:val="22"/>
        </w:rPr>
        <w:t>Route 1 - Raise one case</w:t>
      </w:r>
      <w:r>
        <w:rPr>
          <w:rFonts w:ascii="Calibri" w:hAnsi="Calibri"/>
          <w:b w:val="0"/>
          <w:i w:val="0"/>
          <w:color w:val="20252B"/>
          <w:sz w:val="22"/>
        </w:rPr>
        <w:t xml:space="preserve">, click </w:t>
      </w:r>
      <w:r>
        <w:rPr>
          <w:rFonts w:ascii="Calibri" w:hAnsi="Calibri"/>
          <w:b/>
          <w:i w:val="0"/>
          <w:color w:val="20252B"/>
          <w:sz w:val="22"/>
        </w:rPr>
        <w:t>Open next selected report</w:t>
      </w:r>
      <w:r>
        <w:rPr>
          <w:rFonts w:ascii="Calibri" w:hAnsi="Calibri"/>
          <w:b w:val="0"/>
          <w:i w:val="0"/>
          <w:color w:val="20252B"/>
          <w:sz w:val="22"/>
        </w:rPr>
        <w:t>.</w:t>
      </w:r>
    </w:p>
    <w:p>
      <w:pPr>
        <w:keepNext w:val="0"/>
        <w:spacing w:before="0" w:after="80" w:line="300" w:lineRule="auto"/>
        <w:numPr>
          <w:ilvl w:val="0"/>
          <w:numId w:val="202"/>
        </w:numPr>
      </w:pPr>
      <w:r>
        <w:rPr>
          <w:rFonts w:ascii="Calibri" w:hAnsi="Calibri"/>
          <w:b w:val="0"/>
          <w:i w:val="0"/>
          <w:color w:val="20252B"/>
          <w:sz w:val="22"/>
        </w:rPr>
        <w:t xml:space="preserve">If the button says </w:t>
      </w:r>
      <w:r>
        <w:rPr>
          <w:rFonts w:ascii="Calibri" w:hAnsi="Calibri"/>
          <w:b/>
          <w:i w:val="0"/>
          <w:color w:val="20252B"/>
          <w:sz w:val="22"/>
        </w:rPr>
        <w:t>View reports</w:t>
      </w:r>
      <w:r>
        <w:rPr>
          <w:rFonts w:ascii="Calibri" w:hAnsi="Calibri"/>
          <w:b w:val="0"/>
          <w:i w:val="0"/>
          <w:color w:val="20252B"/>
          <w:sz w:val="22"/>
        </w:rPr>
        <w:t xml:space="preserve">, click it, then click </w:t>
      </w:r>
      <w:r>
        <w:rPr>
          <w:rFonts w:ascii="Calibri" w:hAnsi="Calibri"/>
          <w:b/>
          <w:i w:val="0"/>
          <w:color w:val="20252B"/>
          <w:sz w:val="22"/>
        </w:rPr>
        <w:t>Review report</w:t>
      </w:r>
      <w:r>
        <w:rPr>
          <w:rFonts w:ascii="Calibri" w:hAnsi="Calibri"/>
          <w:b w:val="0"/>
          <w:i w:val="0"/>
          <w:color w:val="20252B"/>
          <w:sz w:val="22"/>
        </w:rPr>
        <w:t xml:space="preserve"> beside the correct entry.</w:t>
      </w:r>
    </w:p>
    <w:p>
      <w:pPr>
        <w:keepNext w:val="0"/>
        <w:spacing w:before="0" w:after="80" w:line="300" w:lineRule="auto"/>
        <w:numPr>
          <w:ilvl w:val="0"/>
          <w:numId w:val="202"/>
        </w:numPr>
      </w:pPr>
      <w:r>
        <w:rPr>
          <w:rFonts w:ascii="Calibri" w:hAnsi="Calibri"/>
          <w:b w:val="0"/>
          <w:i w:val="0"/>
          <w:color w:val="20252B"/>
          <w:sz w:val="22"/>
        </w:rPr>
        <w:t xml:space="preserve">Check </w:t>
      </w:r>
      <w:r>
        <w:rPr>
          <w:rFonts w:ascii="Calibri" w:hAnsi="Calibri"/>
          <w:b/>
          <w:i w:val="0"/>
          <w:color w:val="20252B"/>
          <w:sz w:val="22"/>
        </w:rPr>
        <w:t>Reported details</w:t>
      </w:r>
      <w:r>
        <w:rPr>
          <w:rFonts w:ascii="Calibri" w:hAnsi="Calibri"/>
          <w:b w:val="0"/>
          <w:i w:val="0"/>
          <w:color w:val="20252B"/>
          <w:sz w:val="22"/>
        </w:rPr>
        <w:t xml:space="preserve"> and any evidence.</w:t>
      </w:r>
    </w:p>
    <w:p>
      <w:pPr>
        <w:keepNext w:val="0"/>
        <w:spacing w:before="0" w:after="80" w:line="300" w:lineRule="auto"/>
        <w:numPr>
          <w:ilvl w:val="0"/>
          <w:numId w:val="202"/>
        </w:numPr>
      </w:pPr>
      <w:r>
        <w:rPr>
          <w:rFonts w:ascii="Calibri" w:hAnsi="Calibri"/>
          <w:b w:val="0"/>
          <w:i w:val="0"/>
          <w:color w:val="20252B"/>
          <w:sz w:val="22"/>
        </w:rPr>
        <w:t xml:space="preserve">Under </w:t>
      </w:r>
      <w:r>
        <w:rPr>
          <w:rFonts w:ascii="Calibri" w:hAnsi="Calibri"/>
          <w:b/>
          <w:i w:val="0"/>
          <w:color w:val="20252B"/>
          <w:sz w:val="22"/>
        </w:rPr>
        <w:t>Raise this case</w:t>
      </w:r>
      <w:r>
        <w:rPr>
          <w:rFonts w:ascii="Calibri" w:hAnsi="Calibri"/>
          <w:b w:val="0"/>
          <w:i w:val="0"/>
          <w:color w:val="20252B"/>
          <w:sz w:val="22"/>
        </w:rPr>
        <w:t>, check Offending team, Reporting club, Fixture date and Player.</w:t>
      </w:r>
    </w:p>
    <w:p>
      <w:pPr>
        <w:keepNext w:val="0"/>
        <w:spacing w:before="0" w:after="80" w:line="300" w:lineRule="auto"/>
        <w:numPr>
          <w:ilvl w:val="0"/>
          <w:numId w:val="202"/>
        </w:numPr>
      </w:pPr>
      <w:r>
        <w:rPr>
          <w:rFonts w:ascii="Calibri" w:hAnsi="Calibri"/>
          <w:b w:val="0"/>
          <w:i w:val="0"/>
          <w:color w:val="20252B"/>
          <w:sz w:val="22"/>
        </w:rPr>
        <w:t xml:space="preserve">If needed, click </w:t>
      </w:r>
      <w:r>
        <w:rPr>
          <w:rFonts w:ascii="Calibri" w:hAnsi="Calibri"/>
          <w:b/>
          <w:i w:val="0"/>
          <w:color w:val="20252B"/>
          <w:sz w:val="22"/>
        </w:rPr>
        <w:t>Review case wording</w:t>
      </w:r>
      <w:r>
        <w:rPr>
          <w:rFonts w:ascii="Calibri" w:hAnsi="Calibri"/>
          <w:b w:val="0"/>
          <w:i w:val="0"/>
          <w:color w:val="20252B"/>
          <w:sz w:val="22"/>
        </w:rPr>
        <w:t xml:space="preserve"> and check the recorded allegation and private investigation context.</w:t>
      </w:r>
    </w:p>
    <w:p>
      <w:pPr>
        <w:keepNext w:val="0"/>
        <w:spacing w:before="0" w:after="80" w:line="300" w:lineRule="auto"/>
        <w:numPr>
          <w:ilvl w:val="0"/>
          <w:numId w:val="202"/>
        </w:numPr>
      </w:pPr>
      <w:r>
        <w:rPr>
          <w:rFonts w:ascii="Calibri" w:hAnsi="Calibri"/>
          <w:b w:val="0"/>
          <w:i w:val="0"/>
          <w:color w:val="20252B"/>
          <w:sz w:val="22"/>
        </w:rPr>
        <w:t xml:space="preserve">Click </w:t>
      </w:r>
      <w:r>
        <w:rPr>
          <w:rFonts w:ascii="Calibri" w:hAnsi="Calibri"/>
          <w:b/>
          <w:i w:val="0"/>
          <w:color w:val="20252B"/>
          <w:sz w:val="22"/>
        </w:rPr>
        <w:t>Raise case</w:t>
      </w:r>
      <w:r>
        <w:rPr>
          <w:rFonts w:ascii="Calibri" w:hAnsi="Calibri"/>
          <w:b w:val="0"/>
          <w:i w:val="0"/>
          <w:color w:val="20252B"/>
          <w:sz w:val="22"/>
        </w:rPr>
        <w:t>.</w:t>
      </w:r>
    </w:p>
    <w:p>
      <w:pPr>
        <w:keepNext w:val="0"/>
        <w:spacing w:before="0" w:after="80" w:line="300" w:lineRule="auto"/>
        <w:numPr>
          <w:ilvl w:val="0"/>
          <w:numId w:val="202"/>
        </w:numPr>
      </w:pPr>
      <w:r>
        <w:rPr>
          <w:rFonts w:ascii="Calibri" w:hAnsi="Calibri"/>
          <w:b w:val="0"/>
          <w:i w:val="0"/>
          <w:color w:val="20252B"/>
          <w:sz w:val="22"/>
        </w:rPr>
        <w:t xml:space="preserve">When Case [reference] is ready appears, click </w:t>
      </w:r>
      <w:r>
        <w:rPr>
          <w:rFonts w:ascii="Calibri" w:hAnsi="Calibri"/>
          <w:b/>
          <w:i w:val="0"/>
          <w:color w:val="20252B"/>
          <w:sz w:val="22"/>
        </w:rPr>
        <w:t>Open case</w:t>
      </w:r>
      <w:r>
        <w:rPr>
          <w:rFonts w:ascii="Calibri" w:hAnsi="Calibri"/>
          <w:b w:val="0"/>
          <w:i w:val="0"/>
          <w:color w:val="20252B"/>
          <w:sz w:val="22"/>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5EC"/>
            <w:tcBorders>
              <w:left w:val="single" w:sz="18" w:color="397A45"/>
            </w:tcBorders>
          </w:tcPr>
          <w:p>
            <w:pPr>
              <w:keepNext w:val="0"/>
              <w:spacing w:before="0" w:after="0" w:line="300" w:lineRule="auto"/>
            </w:pPr>
            <w:r>
              <w:rPr>
                <w:rFonts w:ascii="Calibri" w:hAnsi="Calibri"/>
                <w:b/>
                <w:i w:val="0"/>
                <w:color w:val="397A45"/>
                <w:sz w:val="18"/>
              </w:rPr>
              <w:t xml:space="preserve">EXPECTED RESULT  </w:t>
            </w:r>
            <w:r>
              <w:rPr>
                <w:rFonts w:ascii="Calibri" w:hAnsi="Calibri"/>
                <w:b w:val="0"/>
                <w:i w:val="0"/>
                <w:color w:val="20252B"/>
                <w:sz w:val="22"/>
              </w:rPr>
              <w:t>An investigation opens. No email is sent and no outcome is decided.</w:t>
            </w:r>
          </w:p>
        </w:tc>
      </w:tr>
    </w:tbl>
    <w:p>
      <w:pPr>
        <w:keepNext w:val="0"/>
        <w:spacing w:before="0" w:after="0" w:line="240" w:lineRule="auto"/>
      </w:pPr>
    </w:p>
    <w:p>
      <w:pPr>
        <w:pStyle w:val="Heading2"/>
      </w:pPr>
      <w:r>
        <w:t>If a new case should not be raised</w:t>
      </w:r>
    </w:p>
    <w:p>
      <w:pPr>
        <w:keepNext w:val="0"/>
        <w:spacing w:before="0" w:after="80" w:line="300" w:lineRule="auto"/>
        <w:numPr>
          <w:ilvl w:val="0"/>
          <w:numId w:val="203"/>
        </w:numPr>
      </w:pPr>
      <w:r>
        <w:rPr>
          <w:rFonts w:ascii="Calibri" w:hAnsi="Calibri"/>
          <w:b/>
          <w:i w:val="0"/>
          <w:color w:val="20252B"/>
          <w:sz w:val="22"/>
        </w:rPr>
        <w:t xml:space="preserve">Existing investigation: </w:t>
      </w:r>
      <w:r>
        <w:rPr>
          <w:rFonts w:ascii="Calibri" w:hAnsi="Calibri"/>
          <w:b w:val="0"/>
          <w:i w:val="0"/>
          <w:color w:val="20252B"/>
          <w:sz w:val="22"/>
        </w:rPr>
        <w:t>click Other outcomes, complete Link to an existing case, then click Link and merge intake.</w:t>
      </w:r>
    </w:p>
    <w:p>
      <w:pPr>
        <w:keepNext w:val="0"/>
        <w:spacing w:before="0" w:after="80" w:line="300" w:lineRule="auto"/>
        <w:numPr>
          <w:ilvl w:val="0"/>
          <w:numId w:val="203"/>
        </w:numPr>
      </w:pPr>
      <w:r>
        <w:rPr>
          <w:rFonts w:ascii="Calibri" w:hAnsi="Calibri"/>
          <w:b/>
          <w:i w:val="0"/>
          <w:color w:val="20252B"/>
          <w:sz w:val="22"/>
        </w:rPr>
        <w:t xml:space="preserve">Duplicate report: </w:t>
      </w:r>
      <w:r>
        <w:rPr>
          <w:rFonts w:ascii="Calibri" w:hAnsi="Calibri"/>
          <w:b w:val="0"/>
          <w:i w:val="0"/>
          <w:color w:val="20252B"/>
          <w:sz w:val="22"/>
        </w:rPr>
        <w:t>complete Resolve without a new case, then click Mark duplicate.</w:t>
      </w:r>
    </w:p>
    <w:p>
      <w:pPr>
        <w:keepNext w:val="0"/>
        <w:spacing w:before="0" w:after="80" w:line="300" w:lineRule="auto"/>
        <w:numPr>
          <w:ilvl w:val="0"/>
          <w:numId w:val="203"/>
        </w:numPr>
      </w:pPr>
      <w:r>
        <w:rPr>
          <w:rFonts w:ascii="Calibri" w:hAnsi="Calibri"/>
          <w:b/>
          <w:i w:val="0"/>
          <w:color w:val="20252B"/>
          <w:sz w:val="22"/>
        </w:rPr>
        <w:t xml:space="preserve">Irrelevant or no action: </w:t>
      </w:r>
      <w:r>
        <w:rPr>
          <w:rFonts w:ascii="Calibri" w:hAnsi="Calibri"/>
          <w:b w:val="0"/>
          <w:i w:val="0"/>
          <w:color w:val="20252B"/>
          <w:sz w:val="22"/>
        </w:rPr>
        <w:t>record the reason, then click Ignore intake.</w:t>
      </w:r>
    </w:p>
    <w:p>
      <w:r>
        <w:br w:type="page"/>
      </w:r>
    </w:p>
    <w:p>
      <w:pPr>
        <w:pStyle w:val="Heading1"/>
      </w:pPr>
      <w:r>
        <w:t>Route 2 - Import and choose reports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left w:val="single" w:sz="18" w:color="A66B00"/>
            </w:tcBorders>
          </w:tcPr>
          <w:p>
            <w:pPr>
              <w:keepNext w:val="0"/>
              <w:spacing w:before="0" w:after="0" w:line="300" w:lineRule="auto"/>
            </w:pPr>
            <w:r>
              <w:rPr>
                <w:rFonts w:ascii="Calibri" w:hAnsi="Calibri"/>
                <w:b/>
                <w:i w:val="0"/>
                <w:color w:val="A66B00"/>
                <w:sz w:val="18"/>
              </w:rPr>
              <w:t xml:space="preserve">VALUES, NOT COLOURS  </w:t>
            </w:r>
            <w:r>
              <w:rPr>
                <w:rFonts w:ascii="Calibri" w:hAnsi="Calibri"/>
                <w:b w:val="0"/>
                <w:i w:val="0"/>
                <w:color w:val="20252B"/>
                <w:sz w:val="22"/>
              </w:rPr>
              <w:t>The system cannot see blue cell formatting. Import the full configured response sheet, then tick the exact reports to progress. Do not delete or reorder rows in the live response sheet.</w:t>
            </w:r>
          </w:p>
        </w:tc>
      </w:tr>
    </w:tbl>
    <w:p>
      <w:pPr>
        <w:keepNext w:val="0"/>
        <w:spacing w:before="0" w:after="0" w:line="240" w:lineRule="auto"/>
      </w:pPr>
    </w:p>
    <w:p>
      <w:pPr>
        <w:keepNext w:val="0"/>
        <w:spacing w:before="0" w:after="80" w:line="300" w:lineRule="auto"/>
        <w:numPr>
          <w:ilvl w:val="0"/>
          <w:numId w:val="204"/>
        </w:numPr>
      </w:pPr>
      <w:r>
        <w:rPr>
          <w:rFonts w:ascii="Calibri" w:hAnsi="Calibri"/>
          <w:b w:val="0"/>
          <w:i w:val="0"/>
          <w:color w:val="20252B"/>
          <w:sz w:val="22"/>
        </w:rPr>
        <w:t>Make sure the reports are present in the private Google Form response sheet.</w:t>
      </w:r>
    </w:p>
    <w:p>
      <w:pPr>
        <w:keepNext w:val="0"/>
        <w:spacing w:before="0" w:after="80" w:line="300" w:lineRule="auto"/>
        <w:numPr>
          <w:ilvl w:val="0"/>
          <w:numId w:val="204"/>
        </w:numPr>
      </w:pPr>
      <w:r>
        <w:rPr>
          <w:rFonts w:ascii="Calibri" w:hAnsi="Calibri"/>
          <w:b w:val="0"/>
          <w:i w:val="0"/>
          <w:color w:val="20252B"/>
          <w:sz w:val="22"/>
        </w:rPr>
        <w:t xml:space="preserve">Click </w:t>
      </w:r>
      <w:r>
        <w:rPr>
          <w:rFonts w:ascii="Calibri" w:hAnsi="Calibri"/>
          <w:b/>
          <w:i w:val="0"/>
          <w:color w:val="20252B"/>
          <w:sz w:val="22"/>
        </w:rPr>
        <w:t>Sanctions</w:t>
      </w:r>
      <w:r>
        <w:rPr>
          <w:rFonts w:ascii="Calibri" w:hAnsi="Calibri"/>
          <w:b w:val="0"/>
          <w:i w:val="0"/>
          <w:color w:val="20252B"/>
          <w:sz w:val="22"/>
        </w:rPr>
        <w:t xml:space="preserve">, then </w:t>
      </w:r>
      <w:r>
        <w:rPr>
          <w:rFonts w:ascii="Calibri" w:hAnsi="Calibri"/>
          <w:b/>
          <w:i w:val="0"/>
          <w:color w:val="20252B"/>
          <w:sz w:val="22"/>
        </w:rPr>
        <w:t>Ineligible-player work</w:t>
      </w:r>
      <w:r>
        <w:rPr>
          <w:rFonts w:ascii="Calibri" w:hAnsi="Calibri"/>
          <w:b w:val="0"/>
          <w:i w:val="0"/>
          <w:color w:val="20252B"/>
          <w:sz w:val="22"/>
        </w:rPr>
        <w:t>.</w:t>
      </w:r>
    </w:p>
    <w:p>
      <w:pPr>
        <w:keepNext w:val="0"/>
        <w:spacing w:before="0" w:after="80" w:line="300" w:lineRule="auto"/>
        <w:numPr>
          <w:ilvl w:val="0"/>
          <w:numId w:val="204"/>
        </w:numPr>
      </w:pPr>
      <w:r>
        <w:rPr>
          <w:rFonts w:ascii="Calibri" w:hAnsi="Calibri"/>
          <w:b w:val="0"/>
          <w:i w:val="0"/>
          <w:color w:val="20252B"/>
          <w:sz w:val="22"/>
        </w:rPr>
        <w:t xml:space="preserve">Under Route 2, click </w:t>
      </w:r>
      <w:r>
        <w:rPr>
          <w:rFonts w:ascii="Calibri" w:hAnsi="Calibri"/>
          <w:b/>
          <w:i w:val="0"/>
          <w:color w:val="20252B"/>
          <w:sz w:val="22"/>
        </w:rPr>
        <w:t>Import and choose reports</w:t>
      </w:r>
      <w:r>
        <w:rPr>
          <w:rFonts w:ascii="Calibri" w:hAnsi="Calibri"/>
          <w:b w:val="0"/>
          <w:i w:val="0"/>
          <w:color w:val="20252B"/>
          <w:sz w:val="22"/>
        </w:rPr>
        <w:t>.</w:t>
      </w:r>
    </w:p>
    <w:p>
      <w:pPr>
        <w:keepNext w:val="0"/>
        <w:spacing w:before="0" w:after="80" w:line="300" w:lineRule="auto"/>
        <w:numPr>
          <w:ilvl w:val="0"/>
          <w:numId w:val="204"/>
        </w:numPr>
      </w:pPr>
      <w:r>
        <w:rPr>
          <w:rFonts w:ascii="Calibri" w:hAnsi="Calibri"/>
          <w:b w:val="0"/>
          <w:i w:val="0"/>
          <w:color w:val="20252B"/>
          <w:sz w:val="22"/>
        </w:rPr>
        <w:t>Wait for the confirmation showing how many responses were seen, added, changed or returned errors.</w:t>
      </w:r>
    </w:p>
    <w:p>
      <w:pPr>
        <w:keepNext w:val="0"/>
        <w:spacing w:before="0" w:after="80" w:line="300" w:lineRule="auto"/>
        <w:numPr>
          <w:ilvl w:val="0"/>
          <w:numId w:val="204"/>
        </w:numPr>
      </w:pPr>
      <w:r>
        <w:rPr>
          <w:rFonts w:ascii="Calibri" w:hAnsi="Calibri"/>
          <w:b w:val="0"/>
          <w:i w:val="0"/>
          <w:color w:val="20252B"/>
          <w:sz w:val="22"/>
        </w:rPr>
        <w:t xml:space="preserve">On Choose the reports to progress, tick </w:t>
      </w:r>
      <w:r>
        <w:rPr>
          <w:rFonts w:ascii="Calibri" w:hAnsi="Calibri"/>
          <w:b/>
          <w:i w:val="0"/>
          <w:color w:val="20252B"/>
          <w:sz w:val="22"/>
        </w:rPr>
        <w:t>Progress</w:t>
      </w:r>
      <w:r>
        <w:rPr>
          <w:rFonts w:ascii="Calibri" w:hAnsi="Calibri"/>
          <w:b w:val="0"/>
          <w:i w:val="0"/>
          <w:color w:val="20252B"/>
          <w:sz w:val="22"/>
        </w:rPr>
        <w:t xml:space="preserve"> beside every required report.</w:t>
      </w:r>
    </w:p>
    <w:p>
      <w:pPr>
        <w:keepNext w:val="0"/>
        <w:spacing w:before="0" w:after="80" w:line="300" w:lineRule="auto"/>
        <w:numPr>
          <w:ilvl w:val="0"/>
          <w:numId w:val="204"/>
        </w:numPr>
      </w:pPr>
      <w:r>
        <w:rPr>
          <w:rFonts w:ascii="Calibri" w:hAnsi="Calibri"/>
          <w:b w:val="0"/>
          <w:i w:val="0"/>
          <w:color w:val="20252B"/>
          <w:sz w:val="22"/>
        </w:rPr>
        <w:t xml:space="preserve">Check the total. For the Rev 8 blue-row handover, it should show </w:t>
      </w:r>
      <w:r>
        <w:rPr>
          <w:rFonts w:ascii="Calibri" w:hAnsi="Calibri"/>
          <w:b/>
          <w:i w:val="0"/>
          <w:color w:val="20252B"/>
          <w:sz w:val="22"/>
        </w:rPr>
        <w:t>18 selected</w:t>
      </w:r>
      <w:r>
        <w:rPr>
          <w:rFonts w:ascii="Calibri" w:hAnsi="Calibri"/>
          <w:b w:val="0"/>
          <w:i w:val="0"/>
          <w:color w:val="20252B"/>
          <w:sz w:val="22"/>
        </w:rPr>
        <w:t>.</w:t>
      </w:r>
    </w:p>
    <w:p>
      <w:pPr>
        <w:keepNext w:val="0"/>
        <w:spacing w:before="0" w:after="80" w:line="300" w:lineRule="auto"/>
        <w:numPr>
          <w:ilvl w:val="0"/>
          <w:numId w:val="204"/>
        </w:numPr>
      </w:pPr>
      <w:r>
        <w:rPr>
          <w:rFonts w:ascii="Calibri" w:hAnsi="Calibri"/>
          <w:b w:val="0"/>
          <w:i w:val="0"/>
          <w:color w:val="20252B"/>
          <w:sz w:val="22"/>
        </w:rPr>
        <w:t xml:space="preserve">Enter a short reason such as </w:t>
      </w:r>
      <w:r>
        <w:rPr>
          <w:rFonts w:ascii="Calibri" w:hAnsi="Calibri"/>
          <w:b/>
          <w:i w:val="0"/>
          <w:color w:val="20252B"/>
          <w:sz w:val="22"/>
        </w:rPr>
        <w:t>Rev 8 blue rows</w:t>
      </w:r>
      <w:r>
        <w:rPr>
          <w:rFonts w:ascii="Calibri" w:hAnsi="Calibri"/>
          <w:b w:val="0"/>
          <w:i w:val="0"/>
          <w:color w:val="20252B"/>
          <w:sz w:val="22"/>
        </w:rPr>
        <w:t>.</w:t>
      </w:r>
    </w:p>
    <w:p>
      <w:pPr>
        <w:keepNext w:val="0"/>
        <w:spacing w:before="0" w:after="80" w:line="300" w:lineRule="auto"/>
        <w:numPr>
          <w:ilvl w:val="0"/>
          <w:numId w:val="204"/>
        </w:numPr>
      </w:pPr>
      <w:r>
        <w:rPr>
          <w:rFonts w:ascii="Calibri" w:hAnsi="Calibri"/>
          <w:b w:val="0"/>
          <w:i w:val="0"/>
          <w:color w:val="20252B"/>
          <w:sz w:val="22"/>
        </w:rPr>
        <w:t xml:space="preserve">Click </w:t>
      </w:r>
      <w:r>
        <w:rPr>
          <w:rFonts w:ascii="Calibri" w:hAnsi="Calibri"/>
          <w:b/>
          <w:i w:val="0"/>
          <w:color w:val="20252B"/>
          <w:sz w:val="22"/>
        </w:rPr>
        <w:t>Save selection and show work queue</w:t>
      </w:r>
      <w:r>
        <w:rPr>
          <w:rFonts w:ascii="Calibri" w:hAnsi="Calibri"/>
          <w:b w:val="0"/>
          <w:i w:val="0"/>
          <w:color w:val="20252B"/>
          <w:sz w:val="22"/>
        </w:rPr>
        <w:t>.</w:t>
      </w:r>
    </w:p>
    <w:p>
      <w:pPr>
        <w:keepNext w:val="0"/>
        <w:spacing w:before="0" w:after="80" w:line="300" w:lineRule="auto"/>
        <w:numPr>
          <w:ilvl w:val="0"/>
          <w:numId w:val="204"/>
        </w:numPr>
      </w:pPr>
      <w:r>
        <w:rPr>
          <w:rFonts w:ascii="Calibri" w:hAnsi="Calibri"/>
          <w:b w:val="0"/>
          <w:i w:val="0"/>
          <w:color w:val="20252B"/>
          <w:sz w:val="22"/>
        </w:rPr>
        <w:t xml:space="preserve">Click </w:t>
      </w:r>
      <w:r>
        <w:rPr>
          <w:rFonts w:ascii="Calibri" w:hAnsi="Calibri"/>
          <w:b/>
          <w:i w:val="0"/>
          <w:color w:val="20252B"/>
          <w:sz w:val="22"/>
        </w:rPr>
        <w:t>Review report</w:t>
      </w:r>
      <w:r>
        <w:rPr>
          <w:rFonts w:ascii="Calibri" w:hAnsi="Calibri"/>
          <w:b w:val="0"/>
          <w:i w:val="0"/>
          <w:color w:val="20252B"/>
          <w:sz w:val="22"/>
        </w:rPr>
        <w:t xml:space="preserve"> beside the first selected report.</w:t>
      </w:r>
    </w:p>
    <w:p>
      <w:pPr>
        <w:keepNext w:val="0"/>
        <w:spacing w:before="0" w:after="80" w:line="300" w:lineRule="auto"/>
        <w:numPr>
          <w:ilvl w:val="0"/>
          <w:numId w:val="204"/>
        </w:numPr>
      </w:pPr>
      <w:r>
        <w:rPr>
          <w:rFonts w:ascii="Calibri" w:hAnsi="Calibri"/>
          <w:b w:val="0"/>
          <w:i w:val="0"/>
          <w:color w:val="20252B"/>
          <w:sz w:val="22"/>
        </w:rPr>
        <w:t>Follow Route 1 from the Reported details check, then return to the queue and repeat.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5EC"/>
            <w:tcBorders>
              <w:left w:val="single" w:sz="18" w:color="397A45"/>
            </w:tcBorders>
          </w:tcPr>
          <w:p>
            <w:pPr>
              <w:keepNext w:val="0"/>
              <w:spacing w:before="0" w:after="0" w:line="300" w:lineRule="auto"/>
            </w:pPr>
            <w:r>
              <w:rPr>
                <w:rFonts w:ascii="Calibri" w:hAnsi="Calibri"/>
                <w:b/>
                <w:i w:val="0"/>
                <w:color w:val="397A45"/>
                <w:sz w:val="18"/>
              </w:rPr>
              <w:t xml:space="preserve">EXPECTED RESULT  </w:t>
            </w:r>
            <w:r>
              <w:rPr>
                <w:rFonts w:ascii="Calibri" w:hAnsi="Calibri"/>
                <w:b w:val="0"/>
                <w:i w:val="0"/>
                <w:color w:val="20252B"/>
                <w:sz w:val="22"/>
              </w:rPr>
              <w:t>Selected reports appear in the normal queue. Unselected reports are hidden, not deleted, and remain available under View hidden reports or All imported.</w:t>
            </w:r>
          </w:p>
        </w:tc>
      </w:tr>
    </w:tbl>
    <w:p>
      <w:pPr>
        <w:keepNext w:val="0"/>
        <w:spacing w:before="0" w:after="0" w:line="24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left w:val="single" w:sz="18" w:color="2E74B5"/>
            </w:tcBorders>
          </w:tcPr>
          <w:p>
            <w:pPr>
              <w:keepNext w:val="0"/>
              <w:spacing w:before="0" w:after="0" w:line="300" w:lineRule="auto"/>
            </w:pPr>
            <w:r>
              <w:rPr>
                <w:rFonts w:ascii="Calibri" w:hAnsi="Calibri"/>
                <w:b/>
                <w:i w:val="0"/>
                <w:color w:val="2E74B5"/>
                <w:sz w:val="18"/>
              </w:rPr>
              <w:t xml:space="preserve">NEW SUBMISSIONS  </w:t>
            </w:r>
            <w:r>
              <w:rPr>
                <w:rFonts w:ascii="Calibri" w:hAnsi="Calibri"/>
                <w:b w:val="0"/>
                <w:i w:val="0"/>
                <w:color w:val="20252B"/>
                <w:sz w:val="22"/>
              </w:rPr>
              <w:t>A report received after selection stays visible as New - not yet chosen until the next selection.</w:t>
            </w:r>
          </w:p>
        </w:tc>
      </w:tr>
    </w:tbl>
    <w:p>
      <w:pPr>
        <w:keepNext w:val="0"/>
        <w:spacing w:before="0" w:after="0" w:line="240" w:lineRule="auto"/>
      </w:pPr>
    </w:p>
    <w:p>
      <w:r>
        <w:br w:type="page"/>
      </w:r>
    </w:p>
    <w:p>
      <w:pPr>
        <w:pStyle w:val="Heading1"/>
      </w:pPr>
      <w:r>
        <w:t>Route 3 - Import the historical tracker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left w:val="single" w:sz="18" w:color="A66B00"/>
            </w:tcBorders>
          </w:tcPr>
          <w:p>
            <w:pPr>
              <w:keepNext w:val="0"/>
              <w:spacing w:before="0" w:after="0" w:line="300" w:lineRule="auto"/>
            </w:pPr>
            <w:r>
              <w:rPr>
                <w:rFonts w:ascii="Calibri" w:hAnsi="Calibri"/>
                <w:b/>
                <w:i w:val="0"/>
                <w:color w:val="A66B00"/>
                <w:sz w:val="18"/>
              </w:rPr>
              <w:t xml:space="preserve">USE ONLY THE APPROVED WORKBOOK  </w:t>
            </w:r>
            <w:r>
              <w:rPr>
                <w:rFonts w:ascii="Calibri" w:hAnsi="Calibri"/>
                <w:b w:val="0"/>
                <w:i w:val="0"/>
                <w:color w:val="20252B"/>
                <w:sz w:val="22"/>
              </w:rPr>
              <w:t>The file must be .xlsx, no larger than 16 MB, with the Form responses 1 sheet and expected columns A to Z.</w:t>
            </w:r>
          </w:p>
        </w:tc>
      </w:tr>
    </w:tbl>
    <w:p>
      <w:pPr>
        <w:keepNext w:val="0"/>
        <w:spacing w:before="0" w:after="0" w:line="240" w:lineRule="auto"/>
      </w:pPr>
    </w:p>
    <w:p>
      <w:pPr>
        <w:pStyle w:val="Heading2"/>
      </w:pPr>
      <w:r>
        <w:t>Step 1 - Upload</w:t>
      </w:r>
    </w:p>
    <w:p>
      <w:pPr>
        <w:keepNext w:val="0"/>
        <w:spacing w:before="0" w:after="80" w:line="300" w:lineRule="auto"/>
        <w:numPr>
          <w:ilvl w:val="0"/>
          <w:numId w:val="205"/>
        </w:numPr>
      </w:pPr>
      <w:r>
        <w:rPr>
          <w:rFonts w:ascii="Calibri" w:hAnsi="Calibri"/>
          <w:b w:val="0"/>
          <w:i w:val="0"/>
          <w:color w:val="20252B"/>
          <w:sz w:val="22"/>
        </w:rPr>
        <w:t xml:space="preserve">Click </w:t>
      </w:r>
      <w:r>
        <w:rPr>
          <w:rFonts w:ascii="Calibri" w:hAnsi="Calibri"/>
          <w:b/>
          <w:i w:val="0"/>
          <w:color w:val="20252B"/>
          <w:sz w:val="22"/>
        </w:rPr>
        <w:t>Sanctions</w:t>
      </w:r>
      <w:r>
        <w:rPr>
          <w:rFonts w:ascii="Calibri" w:hAnsi="Calibri"/>
          <w:b w:val="0"/>
          <w:i w:val="0"/>
          <w:color w:val="20252B"/>
          <w:sz w:val="22"/>
        </w:rPr>
        <w:t xml:space="preserve">, then </w:t>
      </w:r>
      <w:r>
        <w:rPr>
          <w:rFonts w:ascii="Calibri" w:hAnsi="Calibri"/>
          <w:b/>
          <w:i w:val="0"/>
          <w:color w:val="20252B"/>
          <w:sz w:val="22"/>
        </w:rPr>
        <w:t>Ineligible-player work</w:t>
      </w:r>
      <w:r>
        <w:rPr>
          <w:rFonts w:ascii="Calibri" w:hAnsi="Calibri"/>
          <w:b w:val="0"/>
          <w:i w:val="0"/>
          <w:color w:val="20252B"/>
          <w:sz w:val="22"/>
        </w:rPr>
        <w:t>.</w:t>
      </w:r>
    </w:p>
    <w:p>
      <w:pPr>
        <w:keepNext w:val="0"/>
        <w:spacing w:before="0" w:after="80" w:line="300" w:lineRule="auto"/>
        <w:numPr>
          <w:ilvl w:val="0"/>
          <w:numId w:val="205"/>
        </w:numPr>
      </w:pPr>
      <w:r>
        <w:rPr>
          <w:rFonts w:ascii="Calibri" w:hAnsi="Calibri"/>
          <w:b w:val="0"/>
          <w:i w:val="0"/>
          <w:color w:val="20252B"/>
          <w:sz w:val="22"/>
        </w:rPr>
        <w:t xml:space="preserve">Under Route 3, click </w:t>
      </w:r>
      <w:r>
        <w:rPr>
          <w:rFonts w:ascii="Calibri" w:hAnsi="Calibri"/>
          <w:b/>
          <w:i w:val="0"/>
          <w:color w:val="20252B"/>
          <w:sz w:val="22"/>
        </w:rPr>
        <w:t>Open tracker import</w:t>
      </w:r>
      <w:r>
        <w:rPr>
          <w:rFonts w:ascii="Calibri" w:hAnsi="Calibri"/>
          <w:b w:val="0"/>
          <w:i w:val="0"/>
          <w:color w:val="20252B"/>
          <w:sz w:val="22"/>
        </w:rPr>
        <w:t>.</w:t>
      </w:r>
    </w:p>
    <w:p>
      <w:pPr>
        <w:keepNext w:val="0"/>
        <w:spacing w:before="0" w:after="80" w:line="300" w:lineRule="auto"/>
        <w:numPr>
          <w:ilvl w:val="0"/>
          <w:numId w:val="205"/>
        </w:numPr>
      </w:pPr>
      <w:r>
        <w:rPr>
          <w:rFonts w:ascii="Calibri" w:hAnsi="Calibri"/>
          <w:b w:val="0"/>
          <w:i w:val="0"/>
          <w:color w:val="20252B"/>
          <w:sz w:val="22"/>
        </w:rPr>
        <w:t xml:space="preserve">Under Step 1, click </w:t>
      </w:r>
      <w:r>
        <w:rPr>
          <w:rFonts w:ascii="Calibri" w:hAnsi="Calibri"/>
          <w:b/>
          <w:i w:val="0"/>
          <w:color w:val="20252B"/>
          <w:sz w:val="22"/>
        </w:rPr>
        <w:t>Tracker (.xlsx, max 16 MB)</w:t>
      </w:r>
      <w:r>
        <w:rPr>
          <w:rFonts w:ascii="Calibri" w:hAnsi="Calibri"/>
          <w:b w:val="0"/>
          <w:i w:val="0"/>
          <w:color w:val="20252B"/>
          <w:sz w:val="22"/>
        </w:rPr>
        <w:t>.</w:t>
      </w:r>
    </w:p>
    <w:p>
      <w:pPr>
        <w:keepNext w:val="0"/>
        <w:spacing w:before="0" w:after="80" w:line="300" w:lineRule="auto"/>
        <w:numPr>
          <w:ilvl w:val="0"/>
          <w:numId w:val="205"/>
        </w:numPr>
      </w:pPr>
      <w:r>
        <w:rPr>
          <w:rFonts w:ascii="Calibri" w:hAnsi="Calibri"/>
          <w:b w:val="0"/>
          <w:i w:val="0"/>
          <w:color w:val="20252B"/>
          <w:sz w:val="22"/>
        </w:rPr>
        <w:t>Select the approved workbook.</w:t>
      </w:r>
    </w:p>
    <w:p>
      <w:pPr>
        <w:keepNext w:val="0"/>
        <w:spacing w:before="0" w:after="80" w:line="300" w:lineRule="auto"/>
        <w:numPr>
          <w:ilvl w:val="0"/>
          <w:numId w:val="205"/>
        </w:numPr>
      </w:pPr>
      <w:r>
        <w:rPr>
          <w:rFonts w:ascii="Calibri" w:hAnsi="Calibri"/>
          <w:b w:val="0"/>
          <w:i w:val="0"/>
          <w:color w:val="20252B"/>
          <w:sz w:val="22"/>
        </w:rPr>
        <w:t xml:space="preserve">Click </w:t>
      </w:r>
      <w:r>
        <w:rPr>
          <w:rFonts w:ascii="Calibri" w:hAnsi="Calibri"/>
          <w:b/>
          <w:i w:val="0"/>
          <w:color w:val="20252B"/>
          <w:sz w:val="22"/>
        </w:rPr>
        <w:t>Upload tracker</w:t>
      </w:r>
      <w:r>
        <w:rPr>
          <w:rFonts w:ascii="Calibri" w:hAnsi="Calibri"/>
          <w:b w:val="0"/>
          <w:i w:val="0"/>
          <w:color w:val="20252B"/>
          <w:sz w:val="22"/>
        </w:rPr>
        <w:t>.</w:t>
      </w:r>
    </w:p>
    <w:p>
      <w:pPr>
        <w:keepNext w:val="0"/>
        <w:spacing w:before="0" w:after="120" w:line="300" w:lineRule="auto"/>
      </w:pPr>
      <w:r>
        <w:rPr>
          <w:rFonts w:ascii="Calibri" w:hAnsi="Calibri"/>
          <w:b/>
          <w:i w:val="0"/>
          <w:color w:val="20252B"/>
          <w:sz w:val="22"/>
        </w:rPr>
        <w:t>The system opens</w:t>
      </w:r>
      <w:r>
        <w:rPr>
          <w:rFonts w:ascii="Calibri" w:hAnsi="Calibri"/>
          <w:b w:val="0"/>
          <w:i w:val="0"/>
          <w:color w:val="20252B"/>
          <w:sz w:val="22"/>
        </w:rPr>
        <w:t xml:space="preserve"> Import check #[number].</w:t>
      </w:r>
    </w:p>
    <w:p>
      <w:pPr>
        <w:pStyle w:val="Heading2"/>
      </w:pPr>
      <w:r>
        <w:t>Step 2 - Check every row</w:t>
      </w:r>
    </w:p>
    <w:p>
      <w:pPr>
        <w:keepNext w:val="0"/>
        <w:spacing w:before="0" w:after="80" w:line="300" w:lineRule="auto"/>
        <w:numPr>
          <w:ilvl w:val="0"/>
          <w:numId w:val="206"/>
        </w:numPr>
      </w:pPr>
      <w:r>
        <w:rPr>
          <w:rFonts w:ascii="Calibri" w:hAnsi="Calibri"/>
          <w:b w:val="0"/>
          <w:i w:val="0"/>
          <w:color w:val="20252B"/>
          <w:sz w:val="22"/>
        </w:rPr>
        <w:t xml:space="preserve">Leave </w:t>
      </w:r>
      <w:r>
        <w:rPr>
          <w:rFonts w:ascii="Calibri" w:hAnsi="Calibri"/>
          <w:b/>
          <w:i w:val="0"/>
          <w:color w:val="20252B"/>
          <w:sz w:val="22"/>
        </w:rPr>
        <w:t>Needs checking</w:t>
      </w:r>
      <w:r>
        <w:rPr>
          <w:rFonts w:ascii="Calibri" w:hAnsi="Calibri"/>
          <w:b w:val="0"/>
          <w:i w:val="0"/>
          <w:color w:val="20252B"/>
          <w:sz w:val="22"/>
        </w:rPr>
        <w:t xml:space="preserve"> selected.</w:t>
      </w:r>
    </w:p>
    <w:p>
      <w:pPr>
        <w:keepNext w:val="0"/>
        <w:spacing w:before="0" w:after="80" w:line="300" w:lineRule="auto"/>
        <w:numPr>
          <w:ilvl w:val="0"/>
          <w:numId w:val="206"/>
        </w:numPr>
      </w:pPr>
      <w:r>
        <w:rPr>
          <w:rFonts w:ascii="Calibri" w:hAnsi="Calibri"/>
          <w:b w:val="0"/>
          <w:i w:val="0"/>
          <w:color w:val="20252B"/>
          <w:sz w:val="22"/>
        </w:rPr>
        <w:t xml:space="preserve">Review the totals for </w:t>
      </w:r>
      <w:r>
        <w:rPr>
          <w:rFonts w:ascii="Calibri" w:hAnsi="Calibri"/>
          <w:b/>
          <w:i w:val="0"/>
          <w:color w:val="20252B"/>
          <w:sz w:val="22"/>
        </w:rPr>
        <w:t>Needs checking</w:t>
      </w:r>
      <w:r>
        <w:rPr>
          <w:rFonts w:ascii="Calibri" w:hAnsi="Calibri"/>
          <w:b w:val="0"/>
          <w:i w:val="0"/>
          <w:color w:val="20252B"/>
          <w:sz w:val="22"/>
        </w:rPr>
        <w:t>, Suggested matches and Needs help.</w:t>
      </w:r>
    </w:p>
    <w:p>
      <w:pPr>
        <w:keepNext w:val="0"/>
        <w:spacing w:before="0" w:after="80" w:line="300" w:lineRule="auto"/>
        <w:numPr>
          <w:ilvl w:val="0"/>
          <w:numId w:val="206"/>
        </w:numPr>
      </w:pPr>
      <w:r>
        <w:rPr>
          <w:rFonts w:ascii="Calibri" w:hAnsi="Calibri"/>
          <w:b w:val="0"/>
          <w:i w:val="0"/>
          <w:color w:val="20252B"/>
          <w:sz w:val="22"/>
        </w:rPr>
        <w:t>Check the player, club, team, suggested Google intake and historical state on each row.</w:t>
      </w:r>
    </w:p>
    <w:p>
      <w:pPr>
        <w:keepNext w:val="0"/>
        <w:spacing w:before="0" w:after="80" w:line="300" w:lineRule="auto"/>
        <w:numPr>
          <w:ilvl w:val="0"/>
          <w:numId w:val="206"/>
        </w:numPr>
      </w:pPr>
      <w:r>
        <w:rPr>
          <w:rFonts w:ascii="Calibri" w:hAnsi="Calibri"/>
          <w:b w:val="0"/>
          <w:i w:val="0"/>
          <w:color w:val="20252B"/>
          <w:sz w:val="22"/>
        </w:rPr>
        <w:t xml:space="preserve">For a correct straightforward suggestion, click </w:t>
      </w:r>
      <w:r>
        <w:rPr>
          <w:rFonts w:ascii="Calibri" w:hAnsi="Calibri"/>
          <w:b/>
          <w:i w:val="0"/>
          <w:color w:val="20252B"/>
          <w:sz w:val="22"/>
        </w:rPr>
        <w:t>Confirm suggested match</w:t>
      </w:r>
      <w:r>
        <w:rPr>
          <w:rFonts w:ascii="Calibri" w:hAnsi="Calibri"/>
          <w:b w:val="0"/>
          <w:i w:val="0"/>
          <w:color w:val="20252B"/>
          <w:sz w:val="22"/>
        </w:rPr>
        <w:t>.</w:t>
      </w:r>
    </w:p>
    <w:p>
      <w:pPr>
        <w:keepNext w:val="0"/>
        <w:spacing w:before="0" w:after="80" w:line="300" w:lineRule="auto"/>
        <w:numPr>
          <w:ilvl w:val="0"/>
          <w:numId w:val="206"/>
        </w:numPr>
      </w:pPr>
      <w:r>
        <w:rPr>
          <w:rFonts w:ascii="Calibri" w:hAnsi="Calibri"/>
          <w:b w:val="0"/>
          <w:i w:val="0"/>
          <w:color w:val="20252B"/>
          <w:sz w:val="22"/>
        </w:rPr>
        <w:t xml:space="preserve">Repeat until every straightforward row has moved to </w:t>
      </w:r>
      <w:r>
        <w:rPr>
          <w:rFonts w:ascii="Calibri" w:hAnsi="Calibri"/>
          <w:b/>
          <w:i w:val="0"/>
          <w:color w:val="20252B"/>
          <w:sz w:val="22"/>
        </w:rPr>
        <w:t>Verified history</w:t>
      </w:r>
      <w:r>
        <w:rPr>
          <w:rFonts w:ascii="Calibri" w:hAnsi="Calibri"/>
          <w:b w:val="0"/>
          <w:i w:val="0"/>
          <w:color w:val="20252B"/>
          <w:sz w:val="22"/>
        </w:rPr>
        <w:t>.</w:t>
      </w:r>
    </w:p>
    <w:p>
      <w:pPr>
        <w:pStyle w:val="Heading2"/>
      </w:pPr>
      <w:r>
        <w:t>When a row needs the full review</w:t>
      </w:r>
    </w:p>
    <w:p>
      <w:pPr>
        <w:keepNext w:val="0"/>
        <w:spacing w:before="0" w:after="120" w:line="300" w:lineRule="auto"/>
      </w:pPr>
      <w:r>
        <w:rPr>
          <w:rFonts w:ascii="Calibri" w:hAnsi="Calibri"/>
          <w:b w:val="0"/>
          <w:i w:val="0"/>
          <w:color w:val="20252B"/>
          <w:sz w:val="22"/>
        </w:rPr>
        <w:t>If Confirm suggested match is not shown:</w:t>
      </w:r>
    </w:p>
    <w:p>
      <w:pPr>
        <w:keepNext w:val="0"/>
        <w:spacing w:before="0" w:after="80" w:line="300" w:lineRule="auto"/>
        <w:numPr>
          <w:ilvl w:val="0"/>
          <w:numId w:val="207"/>
        </w:numPr>
      </w:pPr>
      <w:r>
        <w:rPr>
          <w:rFonts w:ascii="Calibri" w:hAnsi="Calibri"/>
          <w:b w:val="0"/>
          <w:i w:val="0"/>
          <w:color w:val="20252B"/>
          <w:sz w:val="22"/>
        </w:rPr>
        <w:t>Check Reconciliation and the Google intake ID.</w:t>
      </w:r>
    </w:p>
    <w:p>
      <w:pPr>
        <w:keepNext w:val="0"/>
        <w:spacing w:before="0" w:after="80" w:line="300" w:lineRule="auto"/>
        <w:numPr>
          <w:ilvl w:val="0"/>
          <w:numId w:val="207"/>
        </w:numPr>
      </w:pPr>
      <w:r>
        <w:rPr>
          <w:rFonts w:ascii="Calibri" w:hAnsi="Calibri"/>
          <w:b w:val="0"/>
          <w:i w:val="0"/>
          <w:color w:val="20252B"/>
          <w:sz w:val="22"/>
        </w:rPr>
        <w:t>Choose the Historical case state.</w:t>
      </w:r>
    </w:p>
    <w:p>
      <w:pPr>
        <w:keepNext w:val="0"/>
        <w:spacing w:before="0" w:after="80" w:line="300" w:lineRule="auto"/>
        <w:numPr>
          <w:ilvl w:val="0"/>
          <w:numId w:val="207"/>
        </w:numPr>
      </w:pPr>
      <w:r>
        <w:rPr>
          <w:rFonts w:ascii="Calibri" w:hAnsi="Calibri"/>
          <w:b w:val="0"/>
          <w:i w:val="0"/>
          <w:color w:val="20252B"/>
          <w:sz w:val="22"/>
        </w:rPr>
        <w:t>Complete the Points/cards review if it appears.</w:t>
      </w:r>
    </w:p>
    <w:p>
      <w:pPr>
        <w:keepNext w:val="0"/>
        <w:spacing w:before="0" w:after="80" w:line="300" w:lineRule="auto"/>
        <w:numPr>
          <w:ilvl w:val="0"/>
          <w:numId w:val="207"/>
        </w:numPr>
      </w:pPr>
      <w:r>
        <w:rPr>
          <w:rFonts w:ascii="Calibri" w:hAnsi="Calibri"/>
          <w:b w:val="0"/>
          <w:i w:val="0"/>
          <w:color w:val="20252B"/>
          <w:sz w:val="22"/>
        </w:rPr>
        <w:t>Record the review reason and reviewer.</w:t>
      </w:r>
    </w:p>
    <w:p>
      <w:pPr>
        <w:keepNext w:val="0"/>
        <w:spacing w:before="0" w:after="80" w:line="300" w:lineRule="auto"/>
        <w:numPr>
          <w:ilvl w:val="0"/>
          <w:numId w:val="207"/>
        </w:numPr>
      </w:pPr>
      <w:r>
        <w:rPr>
          <w:rFonts w:ascii="Calibri" w:hAnsi="Calibri"/>
          <w:b w:val="0"/>
          <w:i w:val="0"/>
          <w:color w:val="20252B"/>
          <w:sz w:val="22"/>
        </w:rPr>
        <w:t xml:space="preserve">Click </w:t>
      </w:r>
      <w:r>
        <w:rPr>
          <w:rFonts w:ascii="Calibri" w:hAnsi="Calibri"/>
          <w:b/>
          <w:i w:val="0"/>
          <w:color w:val="20252B"/>
          <w:sz w:val="22"/>
        </w:rPr>
        <w:t>Verify row</w:t>
      </w:r>
      <w:r>
        <w:rPr>
          <w:rFonts w:ascii="Calibri" w:hAnsi="Calibri"/>
          <w:b w:val="0"/>
          <w:i w:val="0"/>
          <w:color w:val="20252B"/>
          <w:sz w:val="22"/>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left w:val="single" w:sz="18" w:color="A66B00"/>
            </w:tcBorders>
          </w:tcPr>
          <w:p>
            <w:pPr>
              <w:keepNext w:val="0"/>
              <w:spacing w:before="0" w:after="0" w:line="300" w:lineRule="auto"/>
            </w:pPr>
            <w:r>
              <w:rPr>
                <w:rFonts w:ascii="Calibri" w:hAnsi="Calibri"/>
                <w:b/>
                <w:i w:val="0"/>
                <w:color w:val="A66B00"/>
                <w:sz w:val="18"/>
              </w:rPr>
              <w:t xml:space="preserve">DO NOT GUESS  </w:t>
            </w:r>
            <w:r>
              <w:rPr>
                <w:rFonts w:ascii="Calibri" w:hAnsi="Calibri"/>
                <w:b w:val="0"/>
                <w:i w:val="0"/>
                <w:color w:val="20252B"/>
                <w:sz w:val="22"/>
              </w:rPr>
              <w:t>Ask the casework lead to review ambiguous matches or points/cards wording.</w:t>
            </w:r>
          </w:p>
        </w:tc>
      </w:tr>
    </w:tbl>
    <w:p>
      <w:pPr>
        <w:keepNext w:val="0"/>
        <w:spacing w:before="0" w:after="0" w:line="240" w:lineRule="auto"/>
      </w:pPr>
    </w:p>
    <w:p>
      <w:r>
        <w:br w:type="page"/>
      </w:r>
    </w:p>
    <w:p>
      <w:pPr>
        <w:pStyle w:val="Heading1"/>
      </w:pPr>
      <w:r>
        <w:t>Finish the tracker import</w:t>
      </w:r>
    </w:p>
    <w:p>
      <w:pPr>
        <w:pStyle w:val="Heading2"/>
      </w:pPr>
      <w:r>
        <w:t>Step 3 - Sign off</w:t>
      </w:r>
    </w:p>
    <w:p>
      <w:pPr>
        <w:keepNext w:val="0"/>
        <w:spacing w:before="0" w:after="80" w:line="300" w:lineRule="auto"/>
        <w:numPr>
          <w:ilvl w:val="0"/>
          <w:numId w:val="208"/>
        </w:numPr>
      </w:pPr>
      <w:r>
        <w:rPr>
          <w:rFonts w:ascii="Calibri" w:hAnsi="Calibri"/>
          <w:b w:val="0"/>
          <w:i w:val="0"/>
          <w:color w:val="20252B"/>
          <w:sz w:val="22"/>
        </w:rPr>
        <w:t xml:space="preserve">When Needs checking reaches zero, find </w:t>
      </w:r>
      <w:r>
        <w:rPr>
          <w:rFonts w:ascii="Calibri" w:hAnsi="Calibri"/>
          <w:b/>
          <w:i w:val="0"/>
          <w:color w:val="20252B"/>
          <w:sz w:val="22"/>
        </w:rPr>
        <w:t>Step 3 - Sign off</w:t>
      </w:r>
      <w:r>
        <w:rPr>
          <w:rFonts w:ascii="Calibri" w:hAnsi="Calibri"/>
          <w:b w:val="0"/>
          <w:i w:val="0"/>
          <w:color w:val="20252B"/>
          <w:sz w:val="22"/>
        </w:rPr>
        <w:t>.</w:t>
      </w:r>
    </w:p>
    <w:p>
      <w:pPr>
        <w:keepNext w:val="0"/>
        <w:spacing w:before="0" w:after="80" w:line="300" w:lineRule="auto"/>
        <w:numPr>
          <w:ilvl w:val="0"/>
          <w:numId w:val="208"/>
        </w:numPr>
      </w:pPr>
      <w:r>
        <w:rPr>
          <w:rFonts w:ascii="Calibri" w:hAnsi="Calibri"/>
          <w:b w:val="0"/>
          <w:i w:val="0"/>
          <w:color w:val="20252B"/>
          <w:sz w:val="22"/>
        </w:rPr>
        <w:t>Check Your name and read the confirmation statement.</w:t>
      </w:r>
    </w:p>
    <w:p>
      <w:pPr>
        <w:keepNext w:val="0"/>
        <w:spacing w:before="0" w:after="80" w:line="300" w:lineRule="auto"/>
        <w:numPr>
          <w:ilvl w:val="0"/>
          <w:numId w:val="208"/>
        </w:numPr>
      </w:pPr>
      <w:r>
        <w:rPr>
          <w:rFonts w:ascii="Calibri" w:hAnsi="Calibri"/>
          <w:b w:val="0"/>
          <w:i w:val="0"/>
          <w:color w:val="20252B"/>
          <w:sz w:val="22"/>
        </w:rPr>
        <w:t>Tick Save my name and confirmation in the audit history.</w:t>
      </w:r>
    </w:p>
    <w:p>
      <w:pPr>
        <w:keepNext w:val="0"/>
        <w:spacing w:before="0" w:after="80" w:line="300" w:lineRule="auto"/>
        <w:numPr>
          <w:ilvl w:val="0"/>
          <w:numId w:val="208"/>
        </w:numPr>
      </w:pPr>
      <w:r>
        <w:rPr>
          <w:rFonts w:ascii="Calibri" w:hAnsi="Calibri"/>
          <w:b w:val="0"/>
          <w:i w:val="0"/>
          <w:color w:val="20252B"/>
          <w:sz w:val="22"/>
        </w:rPr>
        <w:t xml:space="preserve">Click </w:t>
      </w:r>
      <w:r>
        <w:rPr>
          <w:rFonts w:ascii="Calibri" w:hAnsi="Calibri"/>
          <w:b/>
          <w:i w:val="0"/>
          <w:color w:val="20252B"/>
          <w:sz w:val="22"/>
        </w:rPr>
        <w:t>Sign off import</w:t>
      </w:r>
      <w:r>
        <w:rPr>
          <w:rFonts w:ascii="Calibri" w:hAnsi="Calibri"/>
          <w:b w:val="0"/>
          <w:i w:val="0"/>
          <w:color w:val="20252B"/>
          <w:sz w:val="22"/>
        </w:rPr>
        <w:t>.</w:t>
      </w:r>
    </w:p>
    <w:p>
      <w:pPr>
        <w:pStyle w:val="Heading2"/>
      </w:pPr>
      <w:r>
        <w:t>Step 4 - Apply history</w:t>
      </w:r>
    </w:p>
    <w:p>
      <w:pPr>
        <w:keepNext w:val="0"/>
        <w:spacing w:before="0" w:after="80" w:line="300" w:lineRule="auto"/>
        <w:numPr>
          <w:ilvl w:val="0"/>
          <w:numId w:val="209"/>
        </w:numPr>
      </w:pPr>
      <w:r>
        <w:rPr>
          <w:rFonts w:ascii="Calibri" w:hAnsi="Calibri"/>
          <w:b w:val="0"/>
          <w:i w:val="0"/>
          <w:color w:val="20252B"/>
          <w:sz w:val="22"/>
        </w:rPr>
        <w:t>Review the application summary and Application note.</w:t>
      </w:r>
    </w:p>
    <w:p>
      <w:pPr>
        <w:keepNext w:val="0"/>
        <w:spacing w:before="0" w:after="80" w:line="300" w:lineRule="auto"/>
        <w:numPr>
          <w:ilvl w:val="0"/>
          <w:numId w:val="209"/>
        </w:numPr>
      </w:pPr>
      <w:r>
        <w:rPr>
          <w:rFonts w:ascii="Calibri" w:hAnsi="Calibri"/>
          <w:b w:val="0"/>
          <w:i w:val="0"/>
          <w:color w:val="20252B"/>
          <w:sz w:val="22"/>
        </w:rPr>
        <w:t>Tick the one-time application confirmation.</w:t>
      </w:r>
    </w:p>
    <w:p>
      <w:pPr>
        <w:keepNext w:val="0"/>
        <w:spacing w:before="0" w:after="80" w:line="300" w:lineRule="auto"/>
        <w:numPr>
          <w:ilvl w:val="0"/>
          <w:numId w:val="209"/>
        </w:numPr>
      </w:pPr>
      <w:r>
        <w:rPr>
          <w:rFonts w:ascii="Calibri" w:hAnsi="Calibri"/>
          <w:b w:val="0"/>
          <w:i w:val="0"/>
          <w:color w:val="20252B"/>
          <w:sz w:val="22"/>
        </w:rPr>
        <w:t xml:space="preserve">Click </w:t>
      </w:r>
      <w:r>
        <w:rPr>
          <w:rFonts w:ascii="Calibri" w:hAnsi="Calibri"/>
          <w:b/>
          <w:i w:val="0"/>
          <w:color w:val="20252B"/>
          <w:sz w:val="22"/>
        </w:rPr>
        <w:t>Apply signed-off history</w:t>
      </w:r>
      <w:r>
        <w:rPr>
          <w:rFonts w:ascii="Calibri" w:hAnsi="Calibri"/>
          <w:b w:val="0"/>
          <w:i w:val="0"/>
          <w:color w:val="20252B"/>
          <w:sz w:val="22"/>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5EC"/>
            <w:tcBorders>
              <w:left w:val="single" w:sz="18" w:color="397A45"/>
            </w:tcBorders>
          </w:tcPr>
          <w:p>
            <w:pPr>
              <w:keepNext w:val="0"/>
              <w:spacing w:before="0" w:after="0" w:line="300" w:lineRule="auto"/>
            </w:pPr>
            <w:r>
              <w:rPr>
                <w:rFonts w:ascii="Calibri" w:hAnsi="Calibri"/>
                <w:b/>
                <w:i w:val="0"/>
                <w:color w:val="397A45"/>
                <w:sz w:val="18"/>
              </w:rPr>
              <w:t xml:space="preserve">TRACKER RESULT  </w:t>
            </w:r>
            <w:r>
              <w:rPr>
                <w:rFonts w:ascii="Calibri" w:hAnsi="Calibri"/>
                <w:b w:val="0"/>
                <w:i w:val="0"/>
                <w:color w:val="20252B"/>
                <w:sz w:val="22"/>
              </w:rPr>
              <w:t>Signed-off private history and reviewed open/closed status are applied once. Unmatched or excluded rows remain untouched.</w:t>
            </w:r>
          </w:p>
        </w:tc>
      </w:tr>
    </w:tbl>
    <w:p>
      <w:pPr>
        <w:keepNext w:val="0"/>
        <w:spacing w:before="0" w:after="0" w:line="240" w:lineRule="auto"/>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Borders>
              <w:left w:val="single" w:sz="18" w:color="A66B00"/>
            </w:tcBorders>
          </w:tcPr>
          <w:p>
            <w:pPr>
              <w:keepNext w:val="0"/>
              <w:spacing w:before="0" w:after="0" w:line="300" w:lineRule="auto"/>
            </w:pPr>
            <w:r>
              <w:rPr>
                <w:rFonts w:ascii="Calibri" w:hAnsi="Calibri"/>
                <w:b/>
                <w:i w:val="0"/>
                <w:color w:val="A66B00"/>
                <w:sz w:val="18"/>
              </w:rPr>
              <w:t xml:space="preserve">WHAT THE TRACKER CANNOT DO  </w:t>
            </w:r>
            <w:r>
              <w:rPr>
                <w:rFonts w:ascii="Calibri" w:hAnsi="Calibri"/>
                <w:b w:val="0"/>
                <w:i w:val="0"/>
                <w:color w:val="20252B"/>
                <w:sz w:val="22"/>
              </w:rPr>
              <w:t>It cannot create a case, decision, sanction, points/cards entry, task, correspondence or email.</w:t>
            </w:r>
          </w:p>
        </w:tc>
      </w:tr>
    </w:tbl>
    <w:p>
      <w:pPr>
        <w:keepNext w:val="0"/>
        <w:spacing w:before="0" w:after="0" w:line="240" w:lineRule="auto"/>
      </w:pPr>
    </w:p>
    <w:p>
      <w:pPr>
        <w:pStyle w:val="Heading1"/>
      </w:pPr>
      <w:r>
        <w:t>After a live case is raised</w:t>
      </w:r>
    </w:p>
    <w:p>
      <w:pPr>
        <w:keepNext w:val="0"/>
        <w:spacing w:before="0" w:after="80" w:line="300" w:lineRule="auto"/>
        <w:numPr>
          <w:ilvl w:val="0"/>
          <w:numId w:val="210"/>
        </w:numPr>
      </w:pPr>
      <w:r>
        <w:rPr>
          <w:rFonts w:ascii="Calibri" w:hAnsi="Calibri"/>
          <w:b w:val="0"/>
          <w:i w:val="0"/>
          <w:color w:val="20252B"/>
          <w:sz w:val="22"/>
        </w:rPr>
        <w:t>Open the case and check the evidence and published rule.</w:t>
      </w:r>
    </w:p>
    <w:p>
      <w:pPr>
        <w:keepNext w:val="0"/>
        <w:spacing w:before="0" w:after="80" w:line="300" w:lineRule="auto"/>
        <w:numPr>
          <w:ilvl w:val="0"/>
          <w:numId w:val="210"/>
        </w:numPr>
      </w:pPr>
      <w:r>
        <w:rPr>
          <w:rFonts w:ascii="Calibri" w:hAnsi="Calibri"/>
          <w:b w:val="0"/>
          <w:i w:val="0"/>
          <w:color w:val="20252B"/>
          <w:sz w:val="22"/>
        </w:rPr>
        <w:t>Save the initial email and reminder, then send the initial email when ready.</w:t>
      </w:r>
    </w:p>
    <w:p>
      <w:pPr>
        <w:keepNext w:val="0"/>
        <w:spacing w:before="0" w:after="80" w:line="300" w:lineRule="auto"/>
        <w:numPr>
          <w:ilvl w:val="0"/>
          <w:numId w:val="210"/>
        </w:numPr>
      </w:pPr>
      <w:r>
        <w:rPr>
          <w:rFonts w:ascii="Calibri" w:hAnsi="Calibri"/>
          <w:b w:val="0"/>
          <w:i w:val="0"/>
          <w:color w:val="20252B"/>
          <w:sz w:val="22"/>
        </w:rPr>
        <w:t>Review the club response and any new evidence.</w:t>
      </w:r>
    </w:p>
    <w:p>
      <w:pPr>
        <w:keepNext w:val="0"/>
        <w:spacing w:before="0" w:after="80" w:line="300" w:lineRule="auto"/>
        <w:numPr>
          <w:ilvl w:val="0"/>
          <w:numId w:val="210"/>
        </w:numPr>
      </w:pPr>
      <w:r>
        <w:rPr>
          <w:rFonts w:ascii="Calibri" w:hAnsi="Calibri"/>
          <w:b w:val="0"/>
          <w:i w:val="0"/>
          <w:color w:val="20252B"/>
          <w:sz w:val="22"/>
        </w:rPr>
        <w:t>Prepare the decision and submit it for approval.</w:t>
      </w:r>
    </w:p>
    <w:p>
      <w:pPr>
        <w:keepNext w:val="0"/>
        <w:spacing w:before="0" w:after="80" w:line="300" w:lineRule="auto"/>
        <w:numPr>
          <w:ilvl w:val="0"/>
          <w:numId w:val="210"/>
        </w:numPr>
      </w:pPr>
      <w:r>
        <w:rPr>
          <w:rFonts w:ascii="Calibri" w:hAnsi="Calibri"/>
          <w:b w:val="0"/>
          <w:i w:val="0"/>
          <w:color w:val="20252B"/>
          <w:sz w:val="22"/>
        </w:rPr>
        <w:t>A different authorised administrator checks and approves it.</w:t>
      </w:r>
    </w:p>
    <w:p>
      <w:pPr>
        <w:keepNext w:val="0"/>
        <w:spacing w:before="0" w:after="80" w:line="300" w:lineRule="auto"/>
        <w:numPr>
          <w:ilvl w:val="0"/>
          <w:numId w:val="210"/>
        </w:numPr>
      </w:pPr>
      <w:r>
        <w:rPr>
          <w:rFonts w:ascii="Calibri" w:hAnsi="Calibri"/>
          <w:b w:val="0"/>
          <w:i w:val="0"/>
          <w:color w:val="20252B"/>
          <w:sz w:val="22"/>
        </w:rPr>
        <w:t>After final previews, issue the approved outcomes.</w:t>
      </w:r>
    </w:p>
    <w:p>
      <w:pPr>
        <w:pStyle w:val="Heading2"/>
      </w:pPr>
      <w:r>
        <w:t>Three safety checks</w:t>
      </w:r>
    </w:p>
    <w:p>
      <w:pPr>
        <w:keepNext w:val="0"/>
        <w:spacing w:before="0" w:after="80" w:line="300" w:lineRule="auto"/>
        <w:numPr>
          <w:ilvl w:val="0"/>
          <w:numId w:val="211"/>
        </w:numPr>
      </w:pPr>
      <w:r>
        <w:rPr>
          <w:rFonts w:ascii="Calibri" w:hAnsi="Calibri"/>
          <w:b w:val="0"/>
          <w:i w:val="0"/>
          <w:color w:val="20252B"/>
          <w:sz w:val="22"/>
        </w:rPr>
        <w:t>Raising a case does not send an email.</w:t>
      </w:r>
    </w:p>
    <w:p>
      <w:pPr>
        <w:keepNext w:val="0"/>
        <w:spacing w:before="0" w:after="80" w:line="300" w:lineRule="auto"/>
        <w:numPr>
          <w:ilvl w:val="0"/>
          <w:numId w:val="211"/>
        </w:numPr>
      </w:pPr>
      <w:r>
        <w:rPr>
          <w:rFonts w:ascii="Calibri" w:hAnsi="Calibri"/>
          <w:b w:val="0"/>
          <w:i w:val="0"/>
          <w:color w:val="20252B"/>
          <w:sz w:val="22"/>
        </w:rPr>
        <w:t>A decision requires approval by a different authorised administrator.</w:t>
      </w:r>
    </w:p>
    <w:p>
      <w:pPr>
        <w:keepNext w:val="0"/>
        <w:spacing w:before="0" w:after="80" w:line="300" w:lineRule="auto"/>
        <w:numPr>
          <w:ilvl w:val="0"/>
          <w:numId w:val="211"/>
        </w:numPr>
      </w:pPr>
      <w:r>
        <w:rPr>
          <w:rFonts w:ascii="Calibri" w:hAnsi="Calibri"/>
          <w:b w:val="0"/>
          <w:i w:val="0"/>
          <w:color w:val="20252B"/>
          <w:sz w:val="22"/>
        </w:rPr>
        <w:t>Outcomes are not sent until Issue approved outcomes is selected.</w:t>
      </w:r>
    </w:p>
    <w:p>
      <w:r>
        <w:br w:type="page"/>
      </w:r>
    </w:p>
    <w:p>
      <w:pPr>
        <w:pStyle w:val="Heading1"/>
      </w:pPr>
      <w:r>
        <w:t>Board flow - controlled intake to outcome</w:t>
      </w:r>
    </w:p>
    <w:p>
      <w:pPr>
        <w:keepNext w:val="0"/>
        <w:spacing w:before="0" w:after="120" w:line="300" w:lineRule="auto"/>
      </w:pPr>
      <w:r>
        <w:rPr>
          <w:rFonts w:ascii="Calibri" w:hAnsi="Calibri"/>
          <w:b w:val="0"/>
          <w:i w:val="0"/>
          <w:color w:val="20252B"/>
          <w:sz w:val="22"/>
        </w:rPr>
        <w:t>The control is deliberate at every stage: import everything, select the active workload, review one report at a time and require independent approval before any outcome.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left w:val="single" w:sz="18" w:color="2E74B5"/>
            </w:tcBorders>
          </w:tcPr>
          <w:p>
            <w:pPr>
              <w:keepNext w:val="0"/>
              <w:spacing w:before="0" w:after="0" w:line="300" w:lineRule="auto"/>
            </w:pPr>
            <w:r>
              <w:rPr>
                <w:rFonts w:ascii="Calibri" w:hAnsi="Calibri"/>
                <w:b/>
                <w:i w:val="0"/>
                <w:color w:val="2E74B5"/>
                <w:sz w:val="18"/>
              </w:rPr>
              <w:t xml:space="preserve">1  SAFE IMPORT  </w:t>
            </w:r>
            <w:r>
              <w:rPr>
                <w:rFonts w:ascii="Calibri" w:hAnsi="Calibri"/>
                <w:b w:val="0"/>
                <w:i w:val="0"/>
                <w:color w:val="20252B"/>
                <w:sz w:val="22"/>
              </w:rPr>
              <w:t>All configured Google Form responses are imported into the private intake area. Nothing is deleted and no case or email is created.</w:t>
            </w:r>
          </w:p>
        </w:tc>
      </w:tr>
    </w:tbl>
    <w:p>
      <w:pPr>
        <w:keepNext w:val="0"/>
        <w:spacing w:before="0" w:after="0" w:line="240" w:lineRule="auto"/>
      </w:pPr>
    </w:p>
    <w:p>
      <w:pPr>
        <w:keepNext w:val="0"/>
        <w:spacing w:before="0" w:after="40" w:line="240" w:lineRule="auto"/>
        <w:jc w:val="center"/>
      </w:pPr>
      <w:r>
        <w:rPr>
          <w:rFonts w:ascii="Calibri" w:hAnsi="Calibri"/>
          <w:b/>
          <w:i w:val="0"/>
          <w:color w:val="2E74B5"/>
          <w:sz w:val="32"/>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Borders>
              <w:left w:val="single" w:sz="18" w:color="2E74B5"/>
            </w:tcBorders>
          </w:tcPr>
          <w:p>
            <w:pPr>
              <w:keepNext w:val="0"/>
              <w:spacing w:before="0" w:after="0" w:line="300" w:lineRule="auto"/>
            </w:pPr>
            <w:r>
              <w:rPr>
                <w:rFonts w:ascii="Calibri" w:hAnsi="Calibri"/>
                <w:b/>
                <w:i w:val="0"/>
                <w:color w:val="2E74B5"/>
                <w:sz w:val="18"/>
              </w:rPr>
              <w:t xml:space="preserve">2  STAFF SELECTION  </w:t>
            </w:r>
            <w:r>
              <w:rPr>
                <w:rFonts w:ascii="Calibri" w:hAnsi="Calibri"/>
                <w:b w:val="0"/>
                <w:i w:val="0"/>
                <w:color w:val="20252B"/>
                <w:sz w:val="22"/>
              </w:rPr>
              <w:t>Staff tick the exact reports to progress and save the work list.</w:t>
            </w:r>
          </w:p>
        </w:tc>
      </w:tr>
    </w:tbl>
    <w:p>
      <w:pPr>
        <w:keepNext w:val="0"/>
        <w:spacing w:before="0" w:after="0" w:line="240" w:lineRule="auto"/>
      </w:pPr>
    </w:p>
    <w:p>
      <w:pPr>
        <w:keepNext w:val="0"/>
        <w:spacing w:before="0" w:after="40" w:line="240" w:lineRule="auto"/>
        <w:jc w:val="center"/>
      </w:pPr>
      <w:r>
        <w:rPr>
          <w:rFonts w:ascii="Calibri" w:hAnsi="Calibri"/>
          <w:b/>
          <w:i w:val="0"/>
          <w:color w:val="2E74B5"/>
          <w:sz w:val="32"/>
        </w:rPr>
        <w:t>↓</w:t>
      </w:r>
    </w:p>
    <w:tbl>
      <w:tblPr>
        <w:tblW w:type="dxa" w:w="9360"/>
        <w:tblLayout w:type="fixed"/>
        <w:tblLook w:firstColumn="1" w:firstRow="1" w:lastColumn="0" w:lastRow="0" w:noHBand="0" w:noVBand="1" w:val="04A0"/>
        <w:jc w:val="left"/>
        <w:tblInd w:w="120" w:type="dxa"/>
      </w:tblPr>
      <w:tblGrid>
        <w:gridCol w:w="4680"/>
        <w:gridCol w:w="4680"/>
      </w:tblGrid>
      <w:tr>
        <w:tc>
          <w:tcPr>
            <w:tcW w:type="dxa" w:w="4680"/>
            <w:tcMar>
              <w:top w:w="80" w:type="dxa"/>
              <w:start w:w="120" w:type="dxa"/>
              <w:bottom w:w="80" w:type="dxa"/>
              <w:end w:w="120" w:type="dxa"/>
            </w:tcMar>
            <w:vAlign w:val="center"/>
            <w:shd w:fill="E8EEF5"/>
            <w:tcBorders>
              <w:top w:val="single" w:sz="6" w:color="D7DBE2"/>
              <w:left w:val="single" w:sz="6" w:color="D7DBE2"/>
              <w:bottom w:val="single" w:sz="6" w:color="D7DBE2"/>
              <w:right w:val="single" w:sz="6" w:color="D7DBE2"/>
            </w:tcBorders>
          </w:tcPr>
          <w:p>
            <w:pPr>
              <w:keepNext w:val="0"/>
              <w:spacing w:before="0" w:after="0" w:line="240" w:lineRule="auto"/>
            </w:pPr>
            <w:r>
              <w:rPr>
                <w:rFonts w:ascii="Calibri" w:hAnsi="Calibri"/>
                <w:b/>
                <w:i w:val="0"/>
                <w:color w:val="1F4D78"/>
                <w:sz w:val="20"/>
              </w:rPr>
              <w:t>SELECTED</w:t>
            </w:r>
          </w:p>
        </w:tc>
        <w:tc>
          <w:tcPr>
            <w:tcW w:type="dxa" w:w="4680"/>
            <w:tcMar>
              <w:top w:w="80" w:type="dxa"/>
              <w:start w:w="120" w:type="dxa"/>
              <w:bottom w:w="80" w:type="dxa"/>
              <w:end w:w="120" w:type="dxa"/>
            </w:tcMar>
            <w:vAlign w:val="center"/>
            <w:shd w:fill="E8EEF5"/>
            <w:tcBorders>
              <w:top w:val="single" w:sz="6" w:color="D7DBE2"/>
              <w:left w:val="single" w:sz="6" w:color="D7DBE2"/>
              <w:bottom w:val="single" w:sz="6" w:color="D7DBE2"/>
              <w:right w:val="single" w:sz="6" w:color="D7DBE2"/>
            </w:tcBorders>
          </w:tcPr>
          <w:p>
            <w:pPr>
              <w:keepNext w:val="0"/>
              <w:spacing w:before="0" w:after="0" w:line="240" w:lineRule="auto"/>
            </w:pPr>
            <w:r>
              <w:rPr>
                <w:rFonts w:ascii="Calibri" w:hAnsi="Calibri"/>
                <w:b/>
                <w:i w:val="0"/>
                <w:color w:val="1F4D78"/>
                <w:sz w:val="20"/>
              </w:rPr>
              <w:t>NOT SELECTED</w:t>
            </w:r>
          </w:p>
        </w:tc>
      </w:tr>
      <w:tr>
        <w:tc>
          <w:tcPr>
            <w:tcW w:type="dxa" w:w="468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val="0"/>
                <w:i w:val="0"/>
                <w:color w:val="20252B"/>
                <w:sz w:val="20"/>
              </w:rPr>
              <w:t>Shown in the normal work queue</w:t>
              <w:br/>
              <w:t>Continues below for individual review</w:t>
            </w:r>
          </w:p>
        </w:tc>
        <w:tc>
          <w:tcPr>
            <w:tcW w:type="dxa" w:w="468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i w:val="0"/>
                <w:color w:val="20252B"/>
                <w:sz w:val="20"/>
              </w:rPr>
              <w:t>Hidden from the normal queue</w:t>
              <w:br/>
              <w:t>Stops here until deliberately reselected</w:t>
            </w:r>
          </w:p>
        </w:tc>
      </w:tr>
    </w:tbl>
    <w:p>
      <w:pPr>
        <w:keepNext w:val="0"/>
        <w:spacing w:before="0" w:after="40" w:line="240" w:lineRule="auto"/>
        <w:jc w:val="center"/>
      </w:pPr>
      <w:r>
        <w:rPr>
          <w:rFonts w:ascii="Calibri" w:hAnsi="Calibri"/>
          <w:b/>
          <w:i w:val="0"/>
          <w:color w:val="2E74B5"/>
          <w:sz w:val="32"/>
        </w:rPr>
        <w:t>↓</w:t>
      </w:r>
    </w:p>
    <w:p>
      <w:pPr>
        <w:pStyle w:val="Heading2"/>
      </w:pPr>
      <w:r>
        <w:t>Selected branch - one report at a time</w:t>
      </w:r>
    </w:p>
    <w:tbl>
      <w:tblPr>
        <w:tblW w:type="dxa" w:w="9360"/>
        <w:tblLayout w:type="fixed"/>
        <w:tblLook w:firstColumn="1" w:firstRow="1" w:lastColumn="0" w:lastRow="0" w:noHBand="0" w:noVBand="1" w:val="04A0"/>
        <w:jc w:val="left"/>
        <w:tblInd w:w="120" w:type="dxa"/>
      </w:tblPr>
      <w:tblGrid>
        <w:gridCol w:w="3120"/>
        <w:gridCol w:w="3120"/>
        <w:gridCol w:w="3120"/>
      </w:tblGrid>
      <w:tr>
        <w:tc>
          <w:tcPr>
            <w:tcW w:type="dxa" w:w="3120"/>
            <w:tcMar>
              <w:top w:w="80" w:type="dxa"/>
              <w:start w:w="120" w:type="dxa"/>
              <w:bottom w:w="80" w:type="dxa"/>
              <w:end w:w="120" w:type="dxa"/>
            </w:tcMar>
            <w:vAlign w:val="center"/>
            <w:shd w:fill="E8EEF5"/>
            <w:tcBorders>
              <w:top w:val="single" w:sz="6" w:color="D7DBE2"/>
              <w:left w:val="single" w:sz="6" w:color="D7DBE2"/>
              <w:bottom w:val="single" w:sz="6" w:color="D7DBE2"/>
              <w:right w:val="single" w:sz="6" w:color="D7DBE2"/>
            </w:tcBorders>
          </w:tcPr>
          <w:p>
            <w:pPr>
              <w:keepNext w:val="0"/>
              <w:spacing w:before="0" w:after="0" w:line="240" w:lineRule="auto"/>
            </w:pPr>
            <w:r>
              <w:rPr>
                <w:rFonts w:ascii="Calibri" w:hAnsi="Calibri"/>
                <w:b/>
                <w:i w:val="0"/>
                <w:color w:val="1F4D78"/>
                <w:sz w:val="20"/>
              </w:rPr>
              <w:t>NEW MATTER</w:t>
            </w:r>
          </w:p>
        </w:tc>
        <w:tc>
          <w:tcPr>
            <w:tcW w:type="dxa" w:w="3120"/>
            <w:tcMar>
              <w:top w:w="80" w:type="dxa"/>
              <w:start w:w="120" w:type="dxa"/>
              <w:bottom w:w="80" w:type="dxa"/>
              <w:end w:w="120" w:type="dxa"/>
            </w:tcMar>
            <w:vAlign w:val="center"/>
            <w:shd w:fill="E8EEF5"/>
            <w:tcBorders>
              <w:top w:val="single" w:sz="6" w:color="D7DBE2"/>
              <w:left w:val="single" w:sz="6" w:color="D7DBE2"/>
              <w:bottom w:val="single" w:sz="6" w:color="D7DBE2"/>
              <w:right w:val="single" w:sz="6" w:color="D7DBE2"/>
            </w:tcBorders>
          </w:tcPr>
          <w:p>
            <w:pPr>
              <w:keepNext w:val="0"/>
              <w:spacing w:before="0" w:after="0" w:line="240" w:lineRule="auto"/>
            </w:pPr>
            <w:r>
              <w:rPr>
                <w:rFonts w:ascii="Calibri" w:hAnsi="Calibri"/>
                <w:b/>
                <w:i w:val="0"/>
                <w:color w:val="1F4D78"/>
                <w:sz w:val="20"/>
              </w:rPr>
              <w:t>EXISTING MATTER</w:t>
            </w:r>
          </w:p>
        </w:tc>
        <w:tc>
          <w:tcPr>
            <w:tcW w:type="dxa" w:w="3120"/>
            <w:tcMar>
              <w:top w:w="80" w:type="dxa"/>
              <w:start w:w="120" w:type="dxa"/>
              <w:bottom w:w="80" w:type="dxa"/>
              <w:end w:w="120" w:type="dxa"/>
            </w:tcMar>
            <w:vAlign w:val="center"/>
            <w:shd w:fill="E8EEF5"/>
            <w:tcBorders>
              <w:top w:val="single" w:sz="6" w:color="D7DBE2"/>
              <w:left w:val="single" w:sz="6" w:color="D7DBE2"/>
              <w:bottom w:val="single" w:sz="6" w:color="D7DBE2"/>
              <w:right w:val="single" w:sz="6" w:color="D7DBE2"/>
            </w:tcBorders>
          </w:tcPr>
          <w:p>
            <w:pPr>
              <w:keepNext w:val="0"/>
              <w:spacing w:before="0" w:after="0" w:line="240" w:lineRule="auto"/>
            </w:pPr>
            <w:r>
              <w:rPr>
                <w:rFonts w:ascii="Calibri" w:hAnsi="Calibri"/>
                <w:b/>
                <w:i w:val="0"/>
                <w:color w:val="1F4D78"/>
                <w:sz w:val="20"/>
              </w:rPr>
              <w:t>DUPLICATE / NO ACTION</w:t>
            </w:r>
          </w:p>
        </w:tc>
      </w:tr>
      <w:tr>
        <w:tc>
          <w:tcPr>
            <w:tcW w:type="dxa" w:w="312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val="0"/>
                <w:i w:val="0"/>
                <w:color w:val="20252B"/>
                <w:sz w:val="20"/>
              </w:rPr>
              <w:t>Raise a case</w:t>
              <w:br/>
              <w:t>No email is sent</w:t>
            </w:r>
          </w:p>
        </w:tc>
        <w:tc>
          <w:tcPr>
            <w:tcW w:type="dxa" w:w="312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i w:val="0"/>
                <w:color w:val="20252B"/>
                <w:sz w:val="20"/>
              </w:rPr>
              <w:t>Link to the existing case</w:t>
            </w:r>
          </w:p>
        </w:tc>
        <w:tc>
          <w:tcPr>
            <w:tcW w:type="dxa" w:w="3120"/>
            <w:tcBorders>
              <w:top w:val="single" w:sz="6" w:color="D7DBE2"/>
              <w:left w:val="single" w:sz="6" w:color="D7DBE2"/>
              <w:bottom w:val="single" w:sz="6" w:color="D7DBE2"/>
              <w:right w:val="single" w:sz="6" w:color="D7DBE2"/>
            </w:tcBorders>
            <w:tcMar>
              <w:top w:w="80" w:type="dxa"/>
              <w:start w:w="120" w:type="dxa"/>
              <w:bottom w:w="80" w:type="dxa"/>
              <w:end w:w="120" w:type="dxa"/>
            </w:tcMar>
            <w:vAlign w:val="center"/>
          </w:tcPr>
          <w:p>
            <w:pPr>
              <w:keepNext w:val="0"/>
              <w:spacing w:before="0" w:after="0" w:line="276" w:lineRule="auto"/>
            </w:pPr>
            <w:r>
              <w:rPr>
                <w:rFonts w:ascii="Calibri" w:hAnsi="Calibri"/>
                <w:b w:val="0"/>
                <w:i w:val="0"/>
                <w:color w:val="20252B"/>
                <w:sz w:val="20"/>
              </w:rPr>
              <w:t>Resolve the report with a reason</w:t>
            </w:r>
          </w:p>
        </w:tc>
      </w:tr>
    </w:tbl>
    <w:p>
      <w:pPr>
        <w:keepNext w:val="0"/>
        <w:spacing w:before="0" w:after="40" w:line="240" w:lineRule="auto"/>
        <w:jc w:val="center"/>
      </w:pPr>
      <w:r>
        <w:rPr>
          <w:rFonts w:ascii="Calibri" w:hAnsi="Calibri"/>
          <w:b/>
          <w:i w:val="0"/>
          <w:color w:val="2E74B5"/>
          <w:sz w:val="32"/>
        </w:rPr>
        <w: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9F5EC"/>
            <w:tcBorders>
              <w:left w:val="single" w:sz="18" w:color="397A45"/>
            </w:tcBorders>
          </w:tcPr>
          <w:p>
            <w:pPr>
              <w:keepNext w:val="0"/>
              <w:spacing w:before="0" w:after="0" w:line="300" w:lineRule="auto"/>
            </w:pPr>
            <w:r>
              <w:rPr>
                <w:rFonts w:ascii="Calibri" w:hAnsi="Calibri"/>
                <w:b/>
                <w:i w:val="0"/>
                <w:color w:val="397A45"/>
                <w:sz w:val="18"/>
              </w:rPr>
              <w:t xml:space="preserve">3  CASE CONTROL  </w:t>
            </w:r>
            <w:r>
              <w:rPr>
                <w:rFonts w:ascii="Calibri" w:hAnsi="Calibri"/>
                <w:b w:val="0"/>
                <w:i w:val="0"/>
                <w:color w:val="20252B"/>
                <w:sz w:val="22"/>
              </w:rPr>
              <w:t>Investigate and contact the club  -&gt;  prepare a decision  -&gt;  independent approval  -&gt;  issue approved outcomes.</w:t>
            </w:r>
          </w:p>
        </w:tc>
      </w:tr>
    </w:tbl>
    <w:p>
      <w:pPr>
        <w:keepNext w:val="0"/>
        <w:spacing w:before="0" w:after="0" w:line="240" w:lineRule="auto"/>
      </w:pPr>
    </w:p>
    <w:p>
      <w:pPr>
        <w:pStyle w:val="Heading2"/>
      </w:pPr>
      <w:r>
        <w:t>What this protects</w:t>
      </w:r>
    </w:p>
    <w:p>
      <w:pPr>
        <w:keepNext w:val="0"/>
        <w:spacing w:before="0" w:after="80" w:line="300" w:lineRule="auto"/>
        <w:numPr>
          <w:ilvl w:val="0"/>
          <w:numId w:val="212"/>
        </w:numPr>
      </w:pPr>
      <w:r>
        <w:rPr>
          <w:rFonts w:ascii="Calibri" w:hAnsi="Calibri"/>
          <w:b w:val="0"/>
          <w:i w:val="0"/>
          <w:color w:val="20252B"/>
          <w:sz w:val="22"/>
        </w:rPr>
        <w:t>The supplied source remains complete and unchanged.</w:t>
      </w:r>
    </w:p>
    <w:p>
      <w:pPr>
        <w:keepNext w:val="0"/>
        <w:spacing w:before="0" w:after="80" w:line="300" w:lineRule="auto"/>
        <w:numPr>
          <w:ilvl w:val="0"/>
          <w:numId w:val="212"/>
        </w:numPr>
      </w:pPr>
      <w:r>
        <w:rPr>
          <w:rFonts w:ascii="Calibri" w:hAnsi="Calibri"/>
          <w:b w:val="0"/>
          <w:i w:val="0"/>
          <w:color w:val="20252B"/>
          <w:sz w:val="22"/>
        </w:rPr>
        <w:t>The active workload is explicit, reversible and auditable.</w:t>
      </w:r>
    </w:p>
    <w:p>
      <w:pPr>
        <w:keepNext w:val="0"/>
        <w:spacing w:before="0" w:after="80" w:line="300" w:lineRule="auto"/>
        <w:numPr>
          <w:ilvl w:val="0"/>
          <w:numId w:val="212"/>
        </w:numPr>
      </w:pPr>
      <w:r>
        <w:rPr>
          <w:rFonts w:ascii="Calibri" w:hAnsi="Calibri"/>
          <w:b w:val="0"/>
          <w:i w:val="0"/>
          <w:color w:val="20252B"/>
          <w:sz w:val="22"/>
        </w:rPr>
        <w:t>Selection alone cannot create a case, contact a club or impose an outcome.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66717D"/>
        <w:sz w:val="16"/>
      </w:rPr>
      <w:t xml:space="preserve">GMCL quick guide  |  August 2026  |  Page </w:t>
    </w:r>
    <w:r>
      <w:rPr>
        <w:rFonts w:ascii="Calibri" w:hAnsi="Calibri"/>
        <w:b w:val="0"/>
        <w:i w:val="0"/>
        <w:color w:val="66717D"/>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Pr>
    <w:tblGrid>
      <w:gridCol w:w="1250"/>
      <w:gridCol w:w="8110"/>
    </w:tblGrid>
    <w:tr>
      <w:tc>
        <w:tcPr>
          <w:tcW w:type="dxa" w:w="1250"/>
          <w:tcMar>
            <w:top w:w="80" w:type="dxa"/>
            <w:start w:w="120" w:type="dxa"/>
            <w:bottom w:w="80" w:type="dxa"/>
            <w:end w:w="120" w:type="dxa"/>
          </w:tcMar>
          <w:vAlign w:val="center"/>
          <w:tcBorders>
            <w:bottom w:val="single" w:sz="6" w:color="D7DBE2"/>
          </w:tcBorders>
        </w:tcPr>
        <w:p>
          <w:pPr>
            <w:keepNext w:val="0"/>
            <w:spacing w:before="0" w:after="0" w:line="240" w:lineRule="auto"/>
          </w:pPr>
          <w:r>
            <w:drawing>
              <wp:inline xmlns:a="http://schemas.openxmlformats.org/drawingml/2006/main" xmlns:pic="http://schemas.openxmlformats.org/drawingml/2006/picture">
                <wp:extent cx="566928" cy="146241"/>
                <wp:docPr id="1" name="Picture 1"/>
                <wp:cNvGraphicFramePr>
                  <a:graphicFrameLocks noChangeAspect="1"/>
                </wp:cNvGraphicFramePr>
                <a:graphic>
                  <a:graphicData uri="http://schemas.openxmlformats.org/drawingml/2006/picture">
                    <pic:pic>
                      <pic:nvPicPr>
                        <pic:cNvPr id="0" name="gmcl-logo.png"/>
                        <pic:cNvPicPr/>
                      </pic:nvPicPr>
                      <pic:blipFill>
                        <a:blip r:embed="rId1"/>
                        <a:stretch>
                          <a:fillRect/>
                        </a:stretch>
                      </pic:blipFill>
                      <pic:spPr>
                        <a:xfrm>
                          <a:off x="0" y="0"/>
                          <a:ext cx="566928" cy="146241"/>
                        </a:xfrm>
                        <a:prstGeom prst="rect"/>
                      </pic:spPr>
                    </pic:pic>
                  </a:graphicData>
                </a:graphic>
              </wp:inline>
            </w:drawing>
          </w:r>
        </w:p>
      </w:tc>
      <w:tc>
        <w:tcPr>
          <w:tcW w:type="dxa" w:w="8110"/>
          <w:tcMar>
            <w:top w:w="80" w:type="dxa"/>
            <w:start w:w="120" w:type="dxa"/>
            <w:bottom w:w="80" w:type="dxa"/>
            <w:end w:w="120" w:type="dxa"/>
          </w:tcMar>
          <w:vAlign w:val="center"/>
          <w:tcBorders>
            <w:bottom w:val="single" w:sz="6" w:color="D7DBE2"/>
          </w:tcBorders>
        </w:tcPr>
        <w:p>
          <w:pPr>
            <w:keepNext w:val="0"/>
            <w:spacing w:before="0" w:after="0" w:line="240" w:lineRule="auto"/>
            <w:jc w:val="right"/>
          </w:pPr>
          <w:r>
            <w:rPr>
              <w:rFonts w:ascii="Calibri" w:hAnsi="Calibri"/>
              <w:b/>
              <w:i w:val="0"/>
              <w:color w:val="66717D"/>
              <w:sz w:val="16"/>
            </w:rPr>
            <w:t>GMCL  |  INELIGIBLE-PLAYER WORK</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decimal"/>
      <w:lvlText w:val="%1."/>
      <w:suff w:val="tab"/>
      <w:pPr>
        <w:tabs>
          <w:tab w:val="num" w:pos="540"/>
        </w:tabs>
        <w:ind w:left="540" w:hanging="270"/>
        <w:spacing w:before="0" w:after="80" w:line="300" w:lineRule="auto"/>
      </w:pPr>
      <w:rPr>
        <w:rFonts w:ascii="Calibri" w:hAnsi="Calibri"/>
        <w:color w:val="2E74B5"/>
      </w:rPr>
    </w:lvl>
  </w:abstractNum>
  <w:abstractNum w:abstractNumId="91">
    <w:multiLevelType w:val="singleLevel"/>
    <w:lvl w:ilvl="0">
      <w:start w:val="1"/>
      <w:numFmt w:val="bullet"/>
      <w:lvlText w:val="•"/>
      <w:suff w:val="tab"/>
      <w:pPr>
        <w:tabs>
          <w:tab w:val="num" w:pos="540"/>
        </w:tabs>
        <w:ind w:left="540" w:hanging="270"/>
        <w:spacing w:before="0" w:after="80" w:line="300" w:lineRule="auto"/>
      </w:pPr>
      <w:rPr>
        <w:rFonts w:ascii="Calibri" w:hAnsi="Calibri"/>
        <w:color w:val="2E74B5"/>
      </w:rPr>
    </w:lvl>
  </w:abstractNum>
  <w:num w:numId="201">
    <w:abstractNumId w:val="90"/>
    <w:lvlOverride w:ilvl="0">
      <w:startOverride w:val="1"/>
    </w:lvlOverride>
  </w:num>
  <w:num w:numId="202">
    <w:abstractNumId w:val="90"/>
    <w:lvlOverride w:ilvl="0">
      <w:startOverride w:val="1"/>
    </w:lvlOverride>
  </w:num>
  <w:num w:numId="203">
    <w:abstractNumId w:val="91"/>
    <w:lvlOverride w:ilvl="0">
      <w:startOverride w:val="1"/>
    </w:lvlOverride>
  </w:num>
  <w:num w:numId="204">
    <w:abstractNumId w:val="90"/>
    <w:lvlOverride w:ilvl="0">
      <w:startOverride w:val="1"/>
    </w:lvlOverride>
  </w:num>
  <w:num w:numId="205">
    <w:abstractNumId w:val="90"/>
    <w:lvlOverride w:ilvl="0">
      <w:startOverride w:val="1"/>
    </w:lvlOverride>
  </w:num>
  <w:num w:numId="206">
    <w:abstractNumId w:val="90"/>
    <w:lvlOverride w:ilvl="0">
      <w:startOverride w:val="1"/>
    </w:lvlOverride>
  </w:num>
  <w:num w:numId="207">
    <w:abstractNumId w:val="90"/>
    <w:lvlOverride w:ilvl="0">
      <w:startOverride w:val="1"/>
    </w:lvlOverride>
  </w:num>
  <w:num w:numId="208">
    <w:abstractNumId w:val="90"/>
    <w:lvlOverride w:ilvl="0">
      <w:startOverride w:val="1"/>
    </w:lvlOverride>
  </w:num>
  <w:num w:numId="209">
    <w:abstractNumId w:val="90"/>
    <w:lvlOverride w:ilvl="0">
      <w:startOverride w:val="1"/>
    </w:lvlOverride>
  </w:num>
  <w:num w:numId="210">
    <w:abstractNumId w:val="90"/>
    <w:lvlOverride w:ilvl="0">
      <w:startOverride w:val="1"/>
    </w:lvlOverride>
  </w:num>
  <w:num w:numId="211">
    <w:abstractNumId w:val="91"/>
    <w:lvlOverride w:ilvl="0">
      <w:startOverride w:val="1"/>
    </w:lvlOverride>
  </w:num>
  <w:num w:numId="21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GMCL Ineligible-player Work - Quick Guide</dc:title>
  <dc:subject>Click-by-click staff guide for import selection, live casework, tracker reconciliation and board assurance</dc:subject>
  <dc:creator>Greater Manchester Cricket League</dc:creator>
  <cp:keywords>GMCL, ineligible player, quick guide, Google Form, selection, hidden reports, tracker, board flow</cp:keywords>
  <dc:description>compact_reference_guide preset; customer_pack header pattern; August 2026</dc:description>
  <cp:lastModifiedBy/>
  <cp:revision>1</cp:revision>
  <dcterms:created xsi:type="dcterms:W3CDTF">2013-12-23T23:15:00Z</dcterms:created>
  <dcterms:modified xsi:type="dcterms:W3CDTF">2013-12-23T23:15:00Z</dcterms:modified>
  <cp:category/>
</cp:coreProperties>
</file>